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media/image1.png" ContentType="image/png"/>
  <Override PartName="/word/media/image2.png" ContentType="image/png"/>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header3.xml.rels" ContentType="application/vnd.openxmlformats-package.relationships+xml"/>
  <Override PartName="/word/_rels/footer2.xml.rels" ContentType="application/vnd.openxmlformats-package.relationships+xml"/>
  <Override PartName="/word/_rels/document.xml.rels" ContentType="application/vnd.openxmlformats-package.relationships+xml"/>
  <Override PartName="/word/_rels/header2.xml.rels" ContentType="application/vnd.openxmlformats-package.relationships+xml"/>
  <Override PartName="/word/_rels/footer3.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1"/>
        <w:pBdr/>
        <w:ind w:left="293"/>
        <w:rPr>
          <w:rFonts w:ascii="Arial" w:hAnsi="Arial" w:eastAsia="Arial" w:cs="Arial"/>
          <w:color w:val="000000"/>
          <w:sz w:val="20"/>
          <w:szCs w:val="20"/>
        </w:rPr>
      </w:pPr>
      <w:r>
        <w:rPr>
          <w:rFonts w:eastAsia="Arial" w:cs="Arial" w:ascii="Arial" w:hAnsi="Arial"/>
          <w:color w:val="000000"/>
          <w:sz w:val="20"/>
          <w:szCs w:val="20"/>
        </w:rPr>
      </w:r>
    </w:p>
    <w:p>
      <w:pPr>
        <w:pStyle w:val="normal11"/>
        <w:keepNext w:val="true"/>
        <w:widowControl/>
        <w:pBdr/>
        <w:spacing w:lineRule="auto" w:line="360"/>
        <w:ind w:hanging="864" w:left="864"/>
        <w:jc w:val="center"/>
        <w:rPr>
          <w:rFonts w:ascii="Arial" w:hAnsi="Arial" w:eastAsia="Arial" w:cs="Arial"/>
          <w:b/>
          <w:color w:val="000000"/>
        </w:rPr>
      </w:pPr>
      <w:r>
        <w:rPr>
          <w:rFonts w:eastAsia="Arial" w:cs="Arial" w:ascii="Arial" w:hAnsi="Arial"/>
          <w:b/>
          <w:color w:val="000000"/>
        </w:rPr>
        <w:t>CONCORRÊNCIA Nº 90</w:t>
      </w:r>
      <w:r>
        <w:rPr>
          <w:rFonts w:eastAsia="Arial" w:cs="Arial" w:ascii="Arial" w:hAnsi="Arial"/>
          <w:b/>
        </w:rPr>
        <w:t>280</w:t>
      </w:r>
      <w:r>
        <w:rPr>
          <w:rFonts w:eastAsia="Arial" w:cs="Arial" w:ascii="Arial" w:hAnsi="Arial"/>
          <w:b/>
          <w:color w:val="000000"/>
        </w:rPr>
        <w:t>/SMLCP/SULIC/202</w:t>
      </w:r>
      <w:r>
        <w:rPr>
          <w:rFonts w:eastAsia="Arial" w:cs="Arial" w:ascii="Arial" w:hAnsi="Arial"/>
          <w:b/>
        </w:rPr>
        <w:t>5</w:t>
      </w:r>
    </w:p>
    <w:p>
      <w:pPr>
        <w:pStyle w:val="normal11"/>
        <w:keepNext w:val="true"/>
        <w:widowControl/>
        <w:pBdr/>
        <w:spacing w:lineRule="auto" w:line="360"/>
        <w:ind w:hanging="864" w:left="864"/>
        <w:jc w:val="center"/>
        <w:rPr>
          <w:rFonts w:ascii="Arial" w:hAnsi="Arial" w:eastAsia="Arial" w:cs="Arial"/>
          <w:color w:val="000000"/>
        </w:rPr>
      </w:pPr>
      <w:r>
        <w:rPr>
          <w:rFonts w:eastAsia="Arial" w:cs="Arial" w:ascii="Arial" w:hAnsi="Arial"/>
          <w:b/>
          <w:color w:val="000000"/>
        </w:rPr>
        <w:t>INSTRUÇÕES AOS PROPONENTES</w:t>
      </w:r>
    </w:p>
    <w:p>
      <w:pPr>
        <w:pStyle w:val="normal11"/>
        <w:keepNext w:val="true"/>
        <w:widowControl/>
        <w:pBdr/>
        <w:spacing w:lineRule="auto" w:line="360"/>
        <w:ind w:hanging="864" w:left="864"/>
        <w:jc w:val="center"/>
        <w:rPr>
          <w:rFonts w:ascii="Arial" w:hAnsi="Arial" w:eastAsia="Arial" w:cs="Arial"/>
          <w:b/>
        </w:rPr>
      </w:pPr>
      <w:r>
        <w:rPr>
          <w:rFonts w:eastAsia="Arial" w:cs="Arial" w:ascii="Arial" w:hAnsi="Arial"/>
          <w:b/>
        </w:rPr>
      </w:r>
    </w:p>
    <w:p>
      <w:pPr>
        <w:pStyle w:val="normal11"/>
        <w:spacing w:lineRule="auto" w:line="360"/>
        <w:ind w:left="283" w:right="281"/>
        <w:jc w:val="both"/>
        <w:rPr>
          <w:rFonts w:ascii="Arial" w:hAnsi="Arial" w:eastAsia="Arial" w:cs="Arial"/>
          <w:b/>
        </w:rPr>
      </w:pPr>
      <w:r>
        <w:rPr>
          <w:rFonts w:eastAsia="Arial" w:cs="Arial" w:ascii="Arial" w:hAnsi="Arial"/>
          <w:b/>
        </w:rPr>
        <w:t xml:space="preserve">TENDO EM VISTA A LIMITAÇÃO DE UPLOAD DE ARQUIVOS AO compras.gov, OS ANEXOS AO PROCESSO LICITATÓRIO ESTÃO DISPONIVEIS NO PORTAL DA TRANSPARENCIA DO MUNICIPIO: </w:t>
      </w:r>
      <w:r>
        <w:fldChar w:fldCharType="begin"/>
      </w:r>
      <w:r>
        <w:rPr>
          <w:rStyle w:val="Style3"/>
          <w:u w:val="single"/>
          <w:b/>
          <w:rFonts w:eastAsia="Arial" w:cs="Arial" w:ascii="Arial" w:hAnsi="Arial"/>
          <w:color w:val="1155CC"/>
        </w:rPr>
        <w:instrText xml:space="preserve"> HYPERLINK "https://transparencia.e-publica.net/epublica-portal/" \l "/florianopolis/portal/compras/licitacaoTable?entidade=2002"</w:instrText>
      </w:r>
      <w:r>
        <w:rPr>
          <w:rStyle w:val="Style3"/>
          <w:u w:val="single"/>
          <w:b/>
          <w:rFonts w:eastAsia="Arial" w:cs="Arial" w:ascii="Arial" w:hAnsi="Arial"/>
          <w:color w:val="1155CC"/>
        </w:rPr>
        <w:fldChar w:fldCharType="separate"/>
      </w:r>
      <w:r>
        <w:rPr>
          <w:rStyle w:val="Style3"/>
          <w:rFonts w:eastAsia="Arial" w:cs="Arial" w:ascii="Arial" w:hAnsi="Arial"/>
          <w:b/>
          <w:color w:val="1155CC"/>
          <w:u w:val="single"/>
        </w:rPr>
        <w:t>https://transparencia.e-publica.net/epublica-portal/#/florianopolis/portal/compras/licitacaoTable?entidade=2002</w:t>
      </w:r>
      <w:r>
        <w:rPr>
          <w:rStyle w:val="Style3"/>
          <w:u w:val="single"/>
          <w:b/>
          <w:rFonts w:eastAsia="Arial" w:cs="Arial" w:ascii="Arial" w:hAnsi="Arial"/>
          <w:color w:val="1155CC"/>
        </w:rPr>
        <w:fldChar w:fldCharType="end"/>
      </w:r>
    </w:p>
    <w:p>
      <w:pPr>
        <w:pStyle w:val="normal11"/>
        <w:spacing w:lineRule="auto" w:line="360"/>
        <w:jc w:val="both"/>
        <w:rPr>
          <w:rFonts w:ascii="Arial" w:hAnsi="Arial" w:eastAsia="Arial" w:cs="Arial"/>
        </w:rPr>
      </w:pPr>
      <w:r>
        <w:rPr>
          <w:rFonts w:eastAsia="Arial" w:cs="Arial" w:ascii="Arial" w:hAnsi="Arial"/>
        </w:rPr>
      </w:r>
    </w:p>
    <w:p>
      <w:pPr>
        <w:pStyle w:val="normal11"/>
        <w:pBdr/>
        <w:spacing w:lineRule="auto" w:line="360"/>
        <w:ind w:left="232" w:right="241"/>
        <w:jc w:val="both"/>
        <w:rPr>
          <w:rFonts w:ascii="Arial" w:hAnsi="Arial" w:eastAsia="Arial" w:cs="Arial"/>
          <w:color w:val="000000"/>
        </w:rPr>
      </w:pPr>
      <w:r>
        <w:rPr>
          <w:rFonts w:eastAsia="Arial" w:cs="Arial" w:ascii="Arial" w:hAnsi="Arial"/>
          <w:color w:val="000000"/>
        </w:rPr>
        <w:t xml:space="preserve">O Município de Florianópolis, por intermédio da Secretaria Municipal de Licitações, Contratos e Parcerias, Superintendência de Licitações e Contratos, com sede na Rua Conselheiro Mafra, nº 656, Edifício Aldo Beck, Centro – Florianópolis – SC, torna público que fará realizar licitação na modalidade </w:t>
      </w:r>
      <w:r>
        <w:rPr>
          <w:rFonts w:eastAsia="Arial" w:cs="Arial" w:ascii="Arial" w:hAnsi="Arial"/>
          <w:b/>
          <w:color w:val="000000"/>
        </w:rPr>
        <w:t xml:space="preserve">CONCORRÊNCIA, </w:t>
      </w:r>
      <w:r>
        <w:rPr>
          <w:rFonts w:eastAsia="Arial" w:cs="Arial" w:ascii="Arial" w:hAnsi="Arial"/>
          <w:color w:val="000000"/>
        </w:rPr>
        <w:t xml:space="preserve">cujo critério de julgamento será </w:t>
      </w:r>
      <w:r>
        <w:rPr>
          <w:rFonts w:eastAsia="Arial" w:cs="Arial" w:ascii="Arial" w:hAnsi="Arial"/>
          <w:b/>
          <w:color w:val="000000"/>
        </w:rPr>
        <w:t>MENOR PREÇO GLOBAL</w:t>
      </w:r>
      <w:r>
        <w:rPr>
          <w:rFonts w:eastAsia="Arial" w:cs="Arial" w:ascii="Arial" w:hAnsi="Arial"/>
          <w:color w:val="000000"/>
        </w:rPr>
        <w:t xml:space="preserve">, </w:t>
      </w:r>
      <w:r>
        <w:rPr>
          <w:rFonts w:eastAsia="Arial" w:cs="Arial" w:ascii="Arial" w:hAnsi="Arial"/>
          <w:b/>
          <w:color w:val="000000"/>
        </w:rPr>
        <w:t>com modo de disputa ABERTO</w:t>
      </w:r>
      <w:r>
        <w:rPr>
          <w:rFonts w:eastAsia="Arial" w:cs="Arial" w:ascii="Arial" w:hAnsi="Arial"/>
          <w:color w:val="000000"/>
        </w:rPr>
        <w:t xml:space="preserve">, visando a </w:t>
      </w:r>
      <w:r>
        <w:rPr>
          <w:rFonts w:eastAsia="Arial" w:cs="Arial" w:ascii="Arial" w:hAnsi="Arial"/>
          <w:b/>
          <w:color w:val="000000"/>
        </w:rPr>
        <w:t xml:space="preserve">Contratação </w:t>
      </w:r>
      <w:r>
        <w:rPr>
          <w:rFonts w:eastAsia="Arial" w:cs="Arial" w:ascii="Arial" w:hAnsi="Arial"/>
          <w:b/>
        </w:rPr>
        <w:t>de empresa especializada para execução da obra de Reforma do Centro de Saúde da Ponta das Canas</w:t>
      </w:r>
      <w:r>
        <w:rPr>
          <w:rFonts w:eastAsia="Arial" w:cs="Arial" w:ascii="Arial" w:hAnsi="Arial"/>
          <w:color w:val="000000"/>
        </w:rPr>
        <w:t>, conforme especificações deste edital e seus anexos, a ser regida pela Lei Federal 14.133, de 1º de abril de 2021, Lei Complementar nº 123, de 14 de dezembro de 2006, Instrução Normativa SEGES/ME n° 73, de 30 de setembro de 2022, Instrução Normativa SEGES/ME nº 03, de 26 de abril de 2018, Decreto Municipal n. 24.954, de 1º de março de 2023 e demais normas legais federais, estaduais e municipais vigentes.</w:t>
      </w:r>
    </w:p>
    <w:p>
      <w:pPr>
        <w:pStyle w:val="normal11"/>
        <w:pBdr/>
        <w:spacing w:lineRule="auto" w:line="360"/>
        <w:jc w:val="both"/>
        <w:rPr>
          <w:rFonts w:ascii="Arial" w:hAnsi="Arial" w:eastAsia="Arial" w:cs="Arial"/>
          <w:color w:val="000000"/>
        </w:rPr>
      </w:pPr>
      <w:r>
        <w:rPr>
          <w:rFonts w:eastAsia="Arial" w:cs="Arial" w:ascii="Arial" w:hAnsi="Arial"/>
          <w:color w:val="000000"/>
        </w:rPr>
      </w:r>
    </w:p>
    <w:p>
      <w:pPr>
        <w:pStyle w:val="normal11"/>
        <w:pBdr/>
        <w:spacing w:lineRule="auto" w:line="360"/>
        <w:ind w:left="232" w:right="2324"/>
        <w:jc w:val="both"/>
        <w:rPr>
          <w:rFonts w:ascii="Arial" w:hAnsi="Arial" w:eastAsia="Arial" w:cs="Arial"/>
          <w:color w:val="000000"/>
        </w:rPr>
      </w:pPr>
      <w:r>
        <w:rPr>
          <w:rFonts w:eastAsia="Arial" w:cs="Arial" w:ascii="Arial" w:hAnsi="Arial"/>
          <w:color w:val="000000"/>
        </w:rPr>
        <w:t xml:space="preserve">Os documentos relacionados a seguir fazem parte integrante desta </w:t>
      </w:r>
      <w:r>
        <w:rPr>
          <w:rFonts w:eastAsia="Arial" w:cs="Arial" w:ascii="Arial" w:hAnsi="Arial"/>
          <w:b/>
          <w:color w:val="000000"/>
        </w:rPr>
        <w:t>Concorrência</w:t>
      </w:r>
      <w:r>
        <w:rPr>
          <w:rFonts w:eastAsia="Arial" w:cs="Arial" w:ascii="Arial" w:hAnsi="Arial"/>
          <w:color w:val="000000"/>
        </w:rPr>
        <w:t xml:space="preserve">: </w:t>
      </w:r>
    </w:p>
    <w:p>
      <w:pPr>
        <w:pStyle w:val="normal11"/>
        <w:pBdr/>
        <w:spacing w:lineRule="auto" w:line="360"/>
        <w:ind w:left="232" w:right="2324"/>
        <w:jc w:val="both"/>
        <w:rPr>
          <w:rFonts w:ascii="Arial" w:hAnsi="Arial" w:eastAsia="Arial" w:cs="Arial"/>
        </w:rPr>
      </w:pPr>
      <w:r>
        <w:rPr>
          <w:rFonts w:eastAsia="Arial" w:cs="Arial" w:ascii="Arial" w:hAnsi="Arial"/>
          <w:color w:val="000000"/>
        </w:rPr>
        <w:t xml:space="preserve">Anexo I - </w:t>
      </w:r>
      <w:r>
        <w:rPr>
          <w:rFonts w:eastAsia="Arial" w:cs="Arial" w:ascii="Arial" w:hAnsi="Arial"/>
        </w:rPr>
        <w:t>Termo de Referência</w:t>
      </w:r>
    </w:p>
    <w:p>
      <w:pPr>
        <w:pStyle w:val="normal11"/>
        <w:pBdr/>
        <w:spacing w:lineRule="auto" w:line="360"/>
        <w:ind w:left="232" w:right="2324"/>
        <w:jc w:val="both"/>
        <w:rPr>
          <w:rFonts w:ascii="Arial" w:hAnsi="Arial" w:eastAsia="Arial" w:cs="Arial"/>
          <w:color w:val="000000"/>
        </w:rPr>
      </w:pPr>
      <w:r>
        <w:rPr>
          <w:rFonts w:eastAsia="Arial" w:cs="Arial" w:ascii="Arial" w:hAnsi="Arial"/>
          <w:color w:val="000000"/>
        </w:rPr>
        <w:t xml:space="preserve">Anexo II - Minuta do Contrato; e </w:t>
      </w:r>
    </w:p>
    <w:p>
      <w:pPr>
        <w:pStyle w:val="normal11"/>
        <w:pBdr/>
        <w:spacing w:lineRule="auto" w:line="360"/>
        <w:ind w:left="232" w:right="2324"/>
        <w:jc w:val="both"/>
        <w:rPr>
          <w:rFonts w:ascii="Arial" w:hAnsi="Arial" w:eastAsia="Arial" w:cs="Arial"/>
          <w:color w:val="000000"/>
        </w:rPr>
      </w:pPr>
      <w:r>
        <w:rPr>
          <w:rFonts w:eastAsia="Arial" w:cs="Arial" w:ascii="Arial" w:hAnsi="Arial"/>
          <w:color w:val="000000"/>
        </w:rPr>
        <w:t>Anexo III - Contendo:</w:t>
      </w:r>
    </w:p>
    <w:p>
      <w:pPr>
        <w:pStyle w:val="normal11"/>
        <w:numPr>
          <w:ilvl w:val="0"/>
          <w:numId w:val="19"/>
        </w:numPr>
        <w:pBdr/>
        <w:tabs>
          <w:tab w:val="clear" w:pos="720"/>
          <w:tab w:val="left" w:pos="985" w:leader="none"/>
        </w:tabs>
        <w:spacing w:lineRule="auto" w:line="360"/>
        <w:ind w:hanging="262" w:left="984"/>
        <w:jc w:val="both"/>
        <w:rPr>
          <w:rFonts w:ascii="Arial" w:hAnsi="Arial" w:eastAsia="Arial" w:cs="Arial"/>
          <w:color w:val="000000"/>
        </w:rPr>
      </w:pPr>
      <w:r>
        <w:rPr>
          <w:rFonts w:eastAsia="Arial" w:cs="Arial" w:ascii="Arial" w:hAnsi="Arial"/>
          <w:color w:val="000000"/>
        </w:rPr>
        <w:t>Projeto;</w:t>
      </w:r>
    </w:p>
    <w:p>
      <w:pPr>
        <w:pStyle w:val="normal11"/>
        <w:numPr>
          <w:ilvl w:val="0"/>
          <w:numId w:val="19"/>
        </w:numPr>
        <w:pBdr/>
        <w:tabs>
          <w:tab w:val="clear" w:pos="720"/>
          <w:tab w:val="left" w:pos="970" w:leader="none"/>
        </w:tabs>
        <w:spacing w:lineRule="auto" w:line="360"/>
        <w:ind w:hanging="247" w:left="969"/>
        <w:jc w:val="both"/>
        <w:rPr>
          <w:rFonts w:ascii="Arial" w:hAnsi="Arial" w:eastAsia="Arial" w:cs="Arial"/>
          <w:color w:val="000000"/>
        </w:rPr>
      </w:pPr>
      <w:r>
        <w:rPr>
          <w:rFonts w:eastAsia="Arial" w:cs="Arial" w:ascii="Arial" w:hAnsi="Arial"/>
          <w:color w:val="000000"/>
        </w:rPr>
        <w:t>Planilha Orçamentária Sintética e Demonstração de BDI;</w:t>
      </w:r>
    </w:p>
    <w:p>
      <w:pPr>
        <w:pStyle w:val="normal11"/>
        <w:numPr>
          <w:ilvl w:val="0"/>
          <w:numId w:val="19"/>
        </w:numPr>
        <w:pBdr/>
        <w:tabs>
          <w:tab w:val="clear" w:pos="720"/>
          <w:tab w:val="left" w:pos="985" w:leader="none"/>
        </w:tabs>
        <w:spacing w:lineRule="auto" w:line="360"/>
        <w:ind w:hanging="262" w:left="984"/>
        <w:jc w:val="both"/>
        <w:rPr>
          <w:rFonts w:ascii="Arial" w:hAnsi="Arial" w:eastAsia="Arial" w:cs="Arial"/>
          <w:color w:val="000000"/>
        </w:rPr>
      </w:pPr>
      <w:r>
        <w:rPr>
          <w:rFonts w:eastAsia="Arial" w:cs="Arial" w:ascii="Arial" w:hAnsi="Arial"/>
          <w:color w:val="000000"/>
        </w:rPr>
        <w:t>ART;</w:t>
      </w:r>
    </w:p>
    <w:p>
      <w:pPr>
        <w:pStyle w:val="normal11"/>
        <w:numPr>
          <w:ilvl w:val="0"/>
          <w:numId w:val="19"/>
        </w:numPr>
        <w:pBdr/>
        <w:tabs>
          <w:tab w:val="clear" w:pos="720"/>
          <w:tab w:val="left" w:pos="970" w:leader="none"/>
        </w:tabs>
        <w:spacing w:lineRule="auto" w:line="360"/>
        <w:ind w:hanging="247" w:left="969"/>
        <w:jc w:val="both"/>
        <w:rPr>
          <w:rFonts w:ascii="Arial" w:hAnsi="Arial" w:eastAsia="Arial" w:cs="Arial"/>
          <w:color w:val="000000"/>
        </w:rPr>
      </w:pPr>
      <w:r>
        <w:rPr>
          <w:rFonts w:eastAsia="Arial" w:cs="Arial" w:ascii="Arial" w:hAnsi="Arial"/>
          <w:color w:val="000000"/>
        </w:rPr>
        <w:t>Cronograma Físico-Financeiro.</w:t>
      </w:r>
    </w:p>
    <w:p>
      <w:pPr>
        <w:pStyle w:val="normal11"/>
        <w:pBdr/>
        <w:spacing w:lineRule="auto" w:line="36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jc w:val="both"/>
        <w:rPr>
          <w:rFonts w:ascii="Arial" w:hAnsi="Arial" w:eastAsia="Arial" w:cs="Arial"/>
          <w:b/>
          <w:color w:val="000000"/>
        </w:rPr>
      </w:pPr>
      <w:r>
        <w:rPr>
          <w:rFonts w:eastAsia="Arial" w:cs="Arial" w:ascii="Arial" w:hAnsi="Arial"/>
          <w:b/>
          <w:color w:val="000000"/>
        </w:rPr>
        <w:t>- DA LICITAÇÃO</w:t>
      </w:r>
    </w:p>
    <w:p>
      <w:pPr>
        <w:pStyle w:val="normal11"/>
        <w:numPr>
          <w:ilvl w:val="2"/>
          <w:numId w:val="18"/>
        </w:numPr>
        <w:pBdr/>
        <w:tabs>
          <w:tab w:val="clear" w:pos="720"/>
          <w:tab w:val="left" w:pos="601" w:leader="none"/>
        </w:tabs>
        <w:spacing w:lineRule="auto" w:line="360"/>
        <w:ind w:right="241"/>
        <w:jc w:val="both"/>
        <w:rPr>
          <w:rFonts w:ascii="Arial" w:hAnsi="Arial" w:eastAsia="Arial" w:cs="Arial"/>
          <w:color w:val="000000"/>
        </w:rPr>
      </w:pPr>
      <w:r>
        <w:rPr>
          <w:rFonts w:eastAsia="Arial" w:cs="Arial" w:ascii="Arial" w:hAnsi="Arial"/>
          <w:b/>
          <w:color w:val="000000"/>
        </w:rPr>
        <w:t xml:space="preserve">1.1. Do Objeto da Concorrência: </w:t>
      </w:r>
      <w:r>
        <w:rPr>
          <w:rFonts w:eastAsia="Arial" w:cs="Arial" w:ascii="Arial" w:hAnsi="Arial"/>
          <w:color w:val="000000"/>
        </w:rPr>
        <w:t xml:space="preserve">A presente licitação tem como objeto a </w:t>
      </w:r>
      <w:r>
        <w:rPr>
          <w:rFonts w:eastAsia="Arial" w:cs="Arial" w:ascii="Arial" w:hAnsi="Arial"/>
          <w:b/>
          <w:color w:val="000000"/>
        </w:rPr>
        <w:t xml:space="preserve">Contratação de </w:t>
      </w:r>
      <w:r>
        <w:rPr>
          <w:rFonts w:eastAsia="Arial" w:cs="Arial" w:ascii="Arial" w:hAnsi="Arial"/>
          <w:b/>
        </w:rPr>
        <w:t>empresa especializada para execução da obra de Reforma do Centro de Saúde da Ponta das Canas, localizado na Rodovia Luiz Boiteux Piazza, 6542</w:t>
      </w:r>
      <w:r>
        <w:rPr>
          <w:rFonts w:eastAsia="Arial" w:cs="Arial" w:ascii="Arial" w:hAnsi="Arial"/>
          <w:color w:val="000000"/>
        </w:rPr>
        <w:t>, de acordo com as condições estabelecidas no Anexo III, e nas condições previstas neste Edital.</w:t>
      </w:r>
    </w:p>
    <w:p>
      <w:pPr>
        <w:pStyle w:val="normal11"/>
        <w:numPr>
          <w:ilvl w:val="2"/>
          <w:numId w:val="18"/>
        </w:numPr>
        <w:pBdr/>
        <w:tabs>
          <w:tab w:val="clear" w:pos="720"/>
          <w:tab w:val="left" w:pos="786" w:leader="none"/>
        </w:tabs>
        <w:spacing w:lineRule="auto" w:line="360"/>
        <w:ind w:right="241"/>
        <w:jc w:val="both"/>
        <w:rPr>
          <w:rFonts w:ascii="Arial" w:hAnsi="Arial" w:eastAsia="Arial" w:cs="Arial"/>
          <w:color w:val="000000"/>
        </w:rPr>
      </w:pPr>
      <w:r>
        <w:rPr>
          <w:rFonts w:eastAsia="Arial" w:cs="Arial" w:ascii="Arial" w:hAnsi="Arial"/>
          <w:b/>
          <w:color w:val="000000"/>
        </w:rPr>
        <w:t xml:space="preserve">1.2. </w:t>
      </w:r>
      <w:r>
        <w:rPr>
          <w:rFonts w:eastAsia="Arial" w:cs="Arial" w:ascii="Arial" w:hAnsi="Arial"/>
          <w:color w:val="000000"/>
        </w:rPr>
        <w:t xml:space="preserve">O valor máximo admitido para a contratação é de </w:t>
      </w:r>
      <w:r>
        <w:rPr>
          <w:rFonts w:eastAsia="Arial" w:cs="Arial" w:ascii="Arial" w:hAnsi="Arial"/>
          <w:b/>
        </w:rPr>
        <w:t>R$3.292.697,81 (três milhões duzentos e noventa e dois mil seiscentos e noventa e sete reais e oitenta e um centavos)</w:t>
      </w:r>
      <w:r>
        <w:rPr>
          <w:rFonts w:eastAsia="Arial" w:cs="Arial" w:ascii="Arial" w:hAnsi="Arial"/>
          <w:color w:val="000000"/>
        </w:rPr>
        <w:t>, conforme disposto no Anexo I deste Edital.</w:t>
      </w:r>
    </w:p>
    <w:p>
      <w:pPr>
        <w:pStyle w:val="normal11"/>
        <w:numPr>
          <w:ilvl w:val="1"/>
          <w:numId w:val="18"/>
        </w:numPr>
        <w:pBdr/>
        <w:tabs>
          <w:tab w:val="clear" w:pos="720"/>
          <w:tab w:val="left" w:pos="601" w:leader="none"/>
        </w:tabs>
        <w:spacing w:lineRule="auto" w:line="360"/>
        <w:jc w:val="both"/>
        <w:rPr>
          <w:rFonts w:ascii="Arial" w:hAnsi="Arial" w:eastAsia="Arial" w:cs="Arial"/>
          <w:color w:val="000000"/>
        </w:rPr>
      </w:pPr>
      <w:r>
        <w:rPr>
          <w:rFonts w:eastAsia="Arial" w:cs="Arial" w:ascii="Arial" w:hAnsi="Arial"/>
          <w:b/>
          <w:color w:val="000000"/>
        </w:rPr>
        <w:t xml:space="preserve">1.3. Local: </w:t>
      </w:r>
      <w:r>
        <w:rPr>
          <w:rFonts w:eastAsia="Arial" w:cs="Arial" w:ascii="Arial" w:hAnsi="Arial"/>
          <w:color w:val="000000"/>
        </w:rPr>
        <w:t xml:space="preserve">Portal de Compras do Governo Federal - </w:t>
      </w:r>
      <w:hyperlink r:id="rId2">
        <w:r>
          <w:rPr>
            <w:rStyle w:val="Style3"/>
            <w:rFonts w:eastAsia="Arial" w:cs="Arial" w:ascii="Arial" w:hAnsi="Arial"/>
            <w:color w:val="000000"/>
            <w:u w:val="single"/>
          </w:rPr>
          <w:t>www.gov.br/compras/pt-br</w:t>
        </w:r>
      </w:hyperlink>
      <w:r>
        <w:rPr>
          <w:rFonts w:eastAsia="Arial" w:cs="Arial" w:ascii="Arial" w:hAnsi="Arial"/>
          <w:color w:val="000000"/>
        </w:rPr>
        <w:t>, UASG 988105</w:t>
      </w:r>
    </w:p>
    <w:p>
      <w:pPr>
        <w:pStyle w:val="normal11"/>
        <w:numPr>
          <w:ilvl w:val="1"/>
          <w:numId w:val="18"/>
        </w:numPr>
        <w:pBdr/>
        <w:tabs>
          <w:tab w:val="clear" w:pos="720"/>
          <w:tab w:val="left" w:pos="609" w:leader="none"/>
        </w:tabs>
        <w:spacing w:lineRule="auto" w:line="360"/>
        <w:ind w:right="245"/>
        <w:jc w:val="both"/>
        <w:rPr>
          <w:rFonts w:ascii="Arial" w:hAnsi="Arial" w:eastAsia="Arial" w:cs="Arial"/>
          <w:color w:val="000000"/>
        </w:rPr>
      </w:pPr>
      <w:r>
        <w:rPr>
          <w:rFonts w:eastAsia="Arial" w:cs="Arial" w:ascii="Arial" w:hAnsi="Arial"/>
          <w:b/>
          <w:color w:val="000000"/>
        </w:rPr>
        <w:t xml:space="preserve">1.4. Referência de Tempo: </w:t>
      </w:r>
      <w:r>
        <w:rPr>
          <w:rFonts w:eastAsia="Arial" w:cs="Arial" w:ascii="Arial" w:hAnsi="Arial"/>
          <w:color w:val="000000"/>
        </w:rPr>
        <w:t>Todas as referências de tempo no Edital, no Aviso e durante a Sessão Pública observarão obrigatoriamente o horário de Brasília - DF e, dessa forma, serão registradas no sistema eletrônico e na documentação relativa ao certame.</w:t>
      </w:r>
    </w:p>
    <w:p>
      <w:pPr>
        <w:pStyle w:val="normal11"/>
        <w:numPr>
          <w:ilvl w:val="1"/>
          <w:numId w:val="18"/>
        </w:numPr>
        <w:pBdr/>
        <w:tabs>
          <w:tab w:val="clear" w:pos="720"/>
          <w:tab w:val="left" w:pos="601" w:leader="none"/>
        </w:tabs>
        <w:spacing w:lineRule="auto" w:line="360"/>
        <w:jc w:val="both"/>
        <w:rPr>
          <w:rFonts w:ascii="Arial" w:hAnsi="Arial" w:eastAsia="Arial" w:cs="Arial"/>
          <w:color w:val="000000"/>
        </w:rPr>
      </w:pPr>
      <w:r>
        <w:rPr>
          <w:rFonts w:eastAsia="Arial" w:cs="Arial" w:ascii="Arial" w:hAnsi="Arial"/>
          <w:b/>
          <w:color w:val="000000"/>
        </w:rPr>
        <w:t xml:space="preserve">1.5. Data e horário para início da entrega de propostas: </w:t>
      </w:r>
      <w:r>
        <w:rPr>
          <w:rFonts w:eastAsia="Arial" w:cs="Arial" w:ascii="Arial" w:hAnsi="Arial"/>
          <w:color w:val="000000"/>
        </w:rPr>
        <w:t>17/09/202</w:t>
      </w:r>
      <w:r>
        <w:rPr>
          <w:rFonts w:eastAsia="Arial" w:cs="Arial" w:ascii="Arial" w:hAnsi="Arial"/>
        </w:rPr>
        <w:t>5</w:t>
      </w:r>
      <w:r>
        <w:rPr>
          <w:rFonts w:eastAsia="Arial" w:cs="Arial" w:ascii="Arial" w:hAnsi="Arial"/>
          <w:color w:val="000000"/>
        </w:rPr>
        <w:t xml:space="preserve"> às 18h00minh.</w:t>
      </w:r>
    </w:p>
    <w:p>
      <w:pPr>
        <w:pStyle w:val="normal11"/>
        <w:numPr>
          <w:ilvl w:val="1"/>
          <w:numId w:val="18"/>
        </w:numPr>
        <w:pBdr/>
        <w:tabs>
          <w:tab w:val="clear" w:pos="720"/>
          <w:tab w:val="left" w:pos="615" w:leader="none"/>
        </w:tabs>
        <w:spacing w:lineRule="auto" w:line="360"/>
        <w:ind w:right="241"/>
        <w:jc w:val="both"/>
        <w:rPr>
          <w:rFonts w:ascii="Arial" w:hAnsi="Arial" w:eastAsia="Arial" w:cs="Arial"/>
          <w:color w:val="000000"/>
        </w:rPr>
      </w:pPr>
      <w:r>
        <w:rPr>
          <w:rFonts w:eastAsia="Arial" w:cs="Arial" w:ascii="Arial" w:hAnsi="Arial"/>
          <w:b/>
          <w:color w:val="000000"/>
        </w:rPr>
        <w:t xml:space="preserve">1.6. Data e horário limite para entrega de propostas e início da sessão pública: </w:t>
      </w:r>
      <w:r>
        <w:rPr>
          <w:rFonts w:eastAsia="Arial" w:cs="Arial" w:ascii="Arial" w:hAnsi="Arial"/>
          <w:color w:val="000000"/>
        </w:rPr>
        <w:t>24/10/202</w:t>
      </w:r>
      <w:r>
        <w:rPr>
          <w:rFonts w:eastAsia="Arial" w:cs="Arial" w:ascii="Arial" w:hAnsi="Arial"/>
        </w:rPr>
        <w:t>5</w:t>
      </w:r>
      <w:r>
        <w:rPr>
          <w:rFonts w:eastAsia="Arial" w:cs="Arial" w:ascii="Arial" w:hAnsi="Arial"/>
          <w:color w:val="000000"/>
        </w:rPr>
        <w:t xml:space="preserve"> até às 10h00minh.</w:t>
      </w:r>
    </w:p>
    <w:p>
      <w:pPr>
        <w:pStyle w:val="normal11"/>
        <w:numPr>
          <w:ilvl w:val="1"/>
          <w:numId w:val="18"/>
        </w:numPr>
        <w:pBdr/>
        <w:tabs>
          <w:tab w:val="clear" w:pos="720"/>
          <w:tab w:val="left" w:pos="663" w:leader="none"/>
        </w:tabs>
        <w:spacing w:lineRule="auto" w:line="360"/>
        <w:ind w:right="243"/>
        <w:jc w:val="both"/>
        <w:rPr>
          <w:rFonts w:ascii="Arial" w:hAnsi="Arial" w:eastAsia="Arial" w:cs="Arial"/>
          <w:color w:val="000000"/>
        </w:rPr>
      </w:pPr>
      <w:r>
        <w:rPr>
          <w:rFonts w:eastAsia="Arial" w:cs="Arial" w:ascii="Arial" w:hAnsi="Arial"/>
          <w:b/>
          <w:color w:val="000000"/>
        </w:rPr>
        <w:t xml:space="preserve">1.7. Modo de disputa: </w:t>
      </w:r>
      <w:r>
        <w:rPr>
          <w:rFonts w:eastAsia="Arial" w:cs="Arial" w:ascii="Arial" w:hAnsi="Arial"/>
          <w:color w:val="000000"/>
        </w:rPr>
        <w:t xml:space="preserve">Aberto, nos termos do art. 56, inciso I da Lei Federal 14.133/21 e art. 22 da Instrução Normativa </w:t>
      </w:r>
      <w:hyperlink r:id="rId3">
        <w:r>
          <w:rPr>
            <w:rStyle w:val="Style3"/>
            <w:rFonts w:eastAsia="Arial" w:cs="Arial" w:ascii="Arial" w:hAnsi="Arial"/>
            <w:color w:val="000000"/>
            <w:u w:val="single"/>
          </w:rPr>
          <w:t>SEGES/ME nº 73, de 2022.</w:t>
        </w:r>
      </w:hyperlink>
    </w:p>
    <w:p>
      <w:pPr>
        <w:pStyle w:val="normal11"/>
        <w:numPr>
          <w:ilvl w:val="1"/>
          <w:numId w:val="18"/>
        </w:numPr>
        <w:pBdr/>
        <w:tabs>
          <w:tab w:val="clear" w:pos="720"/>
          <w:tab w:val="left" w:pos="601" w:leader="none"/>
        </w:tabs>
        <w:spacing w:lineRule="auto" w:line="360"/>
        <w:jc w:val="both"/>
        <w:rPr>
          <w:rFonts w:ascii="Arial" w:hAnsi="Arial" w:eastAsia="Arial" w:cs="Arial"/>
          <w:color w:val="000000"/>
        </w:rPr>
      </w:pPr>
      <w:r>
        <w:rPr>
          <w:rFonts w:eastAsia="Arial" w:cs="Arial" w:ascii="Arial" w:hAnsi="Arial"/>
          <w:b/>
          <w:color w:val="000000"/>
        </w:rPr>
        <w:t xml:space="preserve">1.8. Término da Sessão Principal: </w:t>
      </w:r>
      <w:r>
        <w:rPr>
          <w:rFonts w:eastAsia="Arial" w:cs="Arial" w:ascii="Arial" w:hAnsi="Arial"/>
          <w:color w:val="000000"/>
        </w:rPr>
        <w:t>10 (dez) minutos após o início da sessão de disputa.</w:t>
      </w:r>
    </w:p>
    <w:p>
      <w:pPr>
        <w:pStyle w:val="normal11"/>
        <w:numPr>
          <w:ilvl w:val="1"/>
          <w:numId w:val="18"/>
        </w:numPr>
        <w:pBdr/>
        <w:tabs>
          <w:tab w:val="clear" w:pos="720"/>
          <w:tab w:val="left" w:pos="675" w:leader="none"/>
        </w:tabs>
        <w:spacing w:lineRule="auto" w:line="360"/>
        <w:ind w:right="260"/>
        <w:jc w:val="both"/>
        <w:rPr>
          <w:rFonts w:ascii="Arial" w:hAnsi="Arial" w:eastAsia="Arial" w:cs="Arial"/>
          <w:color w:val="000000"/>
        </w:rPr>
      </w:pPr>
      <w:r>
        <w:rPr>
          <w:rFonts w:eastAsia="Arial" w:cs="Arial" w:ascii="Arial" w:hAnsi="Arial"/>
          <w:b/>
          <w:color w:val="000000"/>
        </w:rPr>
        <w:t xml:space="preserve">1.9. Da Execução da Licitação: </w:t>
      </w:r>
      <w:r>
        <w:rPr>
          <w:rFonts w:eastAsia="Arial" w:cs="Arial" w:ascii="Arial" w:hAnsi="Arial"/>
          <w:color w:val="000000"/>
        </w:rPr>
        <w:t xml:space="preserve">A Secretaria Municipal de Licitações, Contratos e Parcerias, na qualidade de interveniente Promotora, processará a presente licitação, destinando-se o seu objeto a </w:t>
      </w:r>
      <w:r>
        <w:rPr>
          <w:rFonts w:eastAsia="Arial" w:cs="Arial" w:ascii="Arial" w:hAnsi="Arial"/>
          <w:b/>
          <w:color w:val="000000"/>
        </w:rPr>
        <w:t xml:space="preserve">Secretaria Municipal </w:t>
      </w:r>
      <w:r>
        <w:rPr>
          <w:rFonts w:eastAsia="Arial" w:cs="Arial" w:ascii="Arial" w:hAnsi="Arial"/>
          <w:b/>
        </w:rPr>
        <w:t>de Saúde</w:t>
      </w:r>
      <w:r>
        <w:rPr>
          <w:rFonts w:eastAsia="Arial" w:cs="Arial" w:ascii="Arial" w:hAnsi="Arial"/>
          <w:color w:val="000000"/>
        </w:rPr>
        <w:t>.</w:t>
      </w:r>
    </w:p>
    <w:p>
      <w:pPr>
        <w:pStyle w:val="normal11"/>
        <w:numPr>
          <w:ilvl w:val="1"/>
          <w:numId w:val="18"/>
        </w:numPr>
        <w:pBdr/>
        <w:tabs>
          <w:tab w:val="clear" w:pos="720"/>
          <w:tab w:val="left" w:pos="601" w:leader="none"/>
          <w:tab w:val="left" w:pos="6379" w:leader="none"/>
        </w:tabs>
        <w:spacing w:lineRule="auto" w:line="360"/>
        <w:ind w:right="245"/>
        <w:jc w:val="both"/>
        <w:rPr>
          <w:rFonts w:ascii="Arial" w:hAnsi="Arial" w:eastAsia="Arial" w:cs="Arial"/>
          <w:color w:val="000000"/>
        </w:rPr>
      </w:pPr>
      <w:r>
        <w:rPr>
          <w:rFonts w:eastAsia="Arial" w:cs="Arial" w:ascii="Arial" w:hAnsi="Arial"/>
          <w:b/>
          <w:color w:val="000000"/>
        </w:rPr>
        <w:t xml:space="preserve">1.10. </w:t>
      </w:r>
      <w:r>
        <w:rPr>
          <w:rFonts w:eastAsia="Arial" w:cs="Arial" w:ascii="Arial" w:hAnsi="Arial"/>
          <w:color w:val="000000"/>
        </w:rPr>
        <w:t xml:space="preserve">O Edital e seus Anexos encontram-se disponíveis no endereço eletrônico identificado no subitem 1.3 e no portal eletrônico da Prefeitura Municipal de Florianópolis, na página </w:t>
      </w:r>
      <w:hyperlink r:id="rId4">
        <w:r>
          <w:rPr>
            <w:rStyle w:val="Style3"/>
            <w:rFonts w:eastAsia="Arial" w:cs="Arial" w:ascii="Arial" w:hAnsi="Arial"/>
            <w:color w:val="000000"/>
            <w:u w:val="single"/>
          </w:rPr>
          <w:t>www.pmf.sc.gov.br</w:t>
        </w:r>
      </w:hyperlink>
      <w:r>
        <w:rPr>
          <w:rFonts w:eastAsia="Arial" w:cs="Arial" w:ascii="Arial" w:hAnsi="Arial"/>
          <w:color w:val="000000"/>
        </w:rPr>
        <w:t>.</w:t>
      </w:r>
    </w:p>
    <w:p>
      <w:pPr>
        <w:pStyle w:val="normal11"/>
        <w:numPr>
          <w:ilvl w:val="1"/>
          <w:numId w:val="18"/>
        </w:numPr>
        <w:pBdr/>
        <w:tabs>
          <w:tab w:val="clear" w:pos="720"/>
          <w:tab w:val="left" w:pos="724" w:leader="none"/>
        </w:tabs>
        <w:spacing w:lineRule="auto" w:line="360"/>
        <w:ind w:right="245"/>
        <w:jc w:val="both"/>
        <w:rPr>
          <w:rFonts w:ascii="Arial" w:hAnsi="Arial" w:eastAsia="Arial" w:cs="Arial"/>
          <w:color w:val="000000"/>
        </w:rPr>
      </w:pPr>
      <w:r>
        <w:rPr>
          <w:rFonts w:eastAsia="Arial" w:cs="Arial" w:ascii="Arial" w:hAnsi="Arial"/>
          <w:b/>
          <w:color w:val="000000"/>
        </w:rPr>
        <w:t xml:space="preserve">1.11. </w:t>
      </w:r>
      <w:r>
        <w:rPr>
          <w:rFonts w:eastAsia="Arial" w:cs="Arial" w:ascii="Arial" w:hAnsi="Arial"/>
          <w:color w:val="000000"/>
        </w:rPr>
        <w:t xml:space="preserve">Em caso de discordância existente entre as quantidades e especificações do objeto descritas no endereço eletrônico </w:t>
      </w:r>
      <w:hyperlink r:id="rId5">
        <w:r>
          <w:rPr>
            <w:rStyle w:val="Style3"/>
            <w:rFonts w:eastAsia="Arial" w:cs="Arial" w:ascii="Arial" w:hAnsi="Arial"/>
            <w:color w:val="000000"/>
          </w:rPr>
          <w:t xml:space="preserve">www.gov.br/compras/pt-br, </w:t>
        </w:r>
      </w:hyperlink>
      <w:r>
        <w:rPr>
          <w:rFonts w:eastAsia="Arial" w:cs="Arial" w:ascii="Arial" w:hAnsi="Arial"/>
          <w:color w:val="000000"/>
        </w:rPr>
        <w:t>com as quantidades e especificações constantes deste Edital, prevalecerão as constantes do Edital.</w:t>
      </w:r>
    </w:p>
    <w:p>
      <w:pPr>
        <w:pStyle w:val="normal11"/>
        <w:pBdr/>
        <w:spacing w:lineRule="auto" w:line="36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jc w:val="both"/>
        <w:rPr>
          <w:rFonts w:ascii="Arial" w:hAnsi="Arial" w:eastAsia="Arial" w:cs="Arial"/>
          <w:b/>
          <w:color w:val="000000"/>
        </w:rPr>
      </w:pPr>
      <w:r>
        <w:rPr>
          <w:rFonts w:eastAsia="Arial" w:cs="Arial" w:ascii="Arial" w:hAnsi="Arial"/>
          <w:b/>
          <w:color w:val="000000"/>
        </w:rPr>
        <w:t>- DOS RECURSOS FINANCEIROS</w:t>
      </w:r>
    </w:p>
    <w:p>
      <w:pPr>
        <w:pStyle w:val="normal11"/>
        <w:numPr>
          <w:ilvl w:val="1"/>
          <w:numId w:val="18"/>
        </w:numPr>
        <w:pBdr/>
        <w:tabs>
          <w:tab w:val="clear" w:pos="720"/>
          <w:tab w:val="left" w:pos="601" w:leader="none"/>
        </w:tabs>
        <w:spacing w:lineRule="auto" w:line="360"/>
        <w:jc w:val="both"/>
        <w:rPr>
          <w:rFonts w:ascii="Arial" w:hAnsi="Arial" w:eastAsia="Arial" w:cs="Arial"/>
          <w:color w:val="000000"/>
        </w:rPr>
      </w:pPr>
      <w:r>
        <w:rPr>
          <w:rFonts w:eastAsia="Arial" w:cs="Arial" w:ascii="Arial" w:hAnsi="Arial"/>
          <w:b/>
          <w:color w:val="000000"/>
        </w:rPr>
        <w:t xml:space="preserve">2.1. </w:t>
      </w:r>
      <w:r>
        <w:rPr>
          <w:rFonts w:eastAsia="Arial" w:cs="Arial" w:ascii="Arial" w:hAnsi="Arial"/>
          <w:color w:val="000000"/>
        </w:rPr>
        <w:t>As despesas provenientes do objeto desta licitação correrão pelas seguintes dotações orçamentárias:</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 xml:space="preserve">Órgão: 35000 - Secretaria Municipal de 35002; Funcional: </w:t>
      </w:r>
      <w:r>
        <w:rPr>
          <w:rFonts w:eastAsia="Arial" w:cs="Arial" w:ascii="Arial" w:hAnsi="Arial"/>
          <w:b/>
        </w:rPr>
        <w:t>10.301.101</w:t>
      </w:r>
      <w:r>
        <w:rPr>
          <w:rFonts w:eastAsia="Arial" w:cs="Arial" w:ascii="Arial" w:hAnsi="Arial"/>
          <w:b/>
          <w:color w:val="000000"/>
        </w:rPr>
        <w:t xml:space="preserve">; Projeto/Atividade: </w:t>
      </w:r>
      <w:r>
        <w:rPr>
          <w:rFonts w:eastAsia="Arial" w:cs="Arial" w:ascii="Arial" w:hAnsi="Arial"/>
          <w:b/>
        </w:rPr>
        <w:t>4.177</w:t>
      </w:r>
      <w:r>
        <w:rPr>
          <w:rFonts w:eastAsia="Arial" w:cs="Arial" w:ascii="Arial" w:hAnsi="Arial"/>
          <w:b/>
          <w:color w:val="000000"/>
        </w:rPr>
        <w:t xml:space="preserve">; Elemento de despesa: </w:t>
      </w:r>
      <w:r>
        <w:rPr>
          <w:rFonts w:eastAsia="Arial" w:cs="Arial" w:ascii="Arial" w:hAnsi="Arial"/>
          <w:b/>
        </w:rPr>
        <w:t>3.3.90.39</w:t>
      </w:r>
      <w:r>
        <w:rPr>
          <w:rFonts w:eastAsia="Arial" w:cs="Arial" w:ascii="Arial" w:hAnsi="Arial"/>
          <w:b/>
          <w:color w:val="000000"/>
        </w:rPr>
        <w:t xml:space="preserve">; Fonte de Recurso: </w:t>
      </w:r>
      <w:r>
        <w:rPr>
          <w:rFonts w:eastAsia="Arial" w:cs="Arial" w:ascii="Arial" w:hAnsi="Arial"/>
          <w:b/>
        </w:rPr>
        <w:t>6002, 6012, 7019</w:t>
      </w:r>
      <w:r>
        <w:rPr>
          <w:rFonts w:eastAsia="Arial" w:cs="Arial" w:ascii="Arial" w:hAnsi="Arial"/>
          <w:b/>
          <w:color w:val="000000"/>
        </w:rPr>
        <w:t xml:space="preserve">; Código reduzido: </w:t>
      </w:r>
      <w:r>
        <w:rPr>
          <w:rFonts w:eastAsia="Arial" w:cs="Arial" w:ascii="Arial" w:hAnsi="Arial"/>
          <w:b/>
        </w:rPr>
        <w:t>556, 557, 2920.</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ind w:hanging="185" w:left="416" w:right="250"/>
        <w:jc w:val="both"/>
        <w:rPr>
          <w:rFonts w:ascii="Arial" w:hAnsi="Arial" w:eastAsia="Arial" w:cs="Arial"/>
          <w:b/>
          <w:color w:val="000000"/>
        </w:rPr>
      </w:pPr>
      <w:r>
        <w:rPr>
          <w:rFonts w:eastAsia="Arial" w:cs="Arial" w:ascii="Arial" w:hAnsi="Arial"/>
          <w:b/>
          <w:color w:val="000000"/>
        </w:rPr>
        <w:t>- DAS CONDIÇÕES DE PARTICIPAÇÃO</w:t>
      </w:r>
    </w:p>
    <w:p>
      <w:pPr>
        <w:pStyle w:val="normal11"/>
        <w:spacing w:lineRule="auto" w:line="360"/>
        <w:ind w:right="250"/>
        <w:jc w:val="both"/>
        <w:rPr>
          <w:rFonts w:ascii="Arial" w:hAnsi="Arial" w:eastAsia="Arial" w:cs="Arial"/>
        </w:rPr>
      </w:pPr>
      <w:r>
        <w:rPr>
          <w:rFonts w:eastAsia="Arial" w:cs="Arial" w:ascii="Arial" w:hAnsi="Arial"/>
          <w:b/>
        </w:rPr>
        <w:t xml:space="preserve">3.1. </w:t>
      </w:r>
      <w:r>
        <w:rPr>
          <w:rFonts w:eastAsia="Arial" w:cs="Arial" w:ascii="Arial" w:hAnsi="Arial"/>
        </w:rPr>
        <w:t>Poderão participar desta licitação todas as empresas que atuem no ramo de atividade objeto deste edital, e que atendam todas as condições exigidas no presente instrumento e seus respectivos anexos.</w:t>
      </w:r>
    </w:p>
    <w:p>
      <w:pPr>
        <w:pStyle w:val="normal11"/>
        <w:spacing w:lineRule="auto" w:line="360"/>
        <w:ind w:right="250"/>
        <w:jc w:val="both"/>
        <w:rPr>
          <w:rFonts w:ascii="Arial" w:hAnsi="Arial" w:eastAsia="Arial" w:cs="Arial"/>
        </w:rPr>
      </w:pPr>
      <w:r>
        <w:rPr>
          <w:rFonts w:eastAsia="Arial" w:cs="Arial" w:ascii="Arial" w:hAnsi="Arial"/>
          <w:b/>
        </w:rPr>
        <w:t>3.2. Não será admitida a participação de</w:t>
      </w:r>
      <w:r>
        <w:rPr>
          <w:rFonts w:eastAsia="Arial" w:cs="Arial" w:ascii="Arial" w:hAnsi="Arial"/>
        </w:rPr>
        <w:t>:</w:t>
      </w:r>
    </w:p>
    <w:p>
      <w:pPr>
        <w:pStyle w:val="normal11"/>
        <w:tabs>
          <w:tab w:val="clear" w:pos="720"/>
          <w:tab w:val="left" w:pos="1260" w:leader="none"/>
        </w:tabs>
        <w:spacing w:lineRule="auto" w:line="360"/>
        <w:ind w:right="250"/>
        <w:jc w:val="both"/>
        <w:rPr>
          <w:rFonts w:ascii="Arial" w:hAnsi="Arial" w:eastAsia="Arial" w:cs="Arial"/>
        </w:rPr>
      </w:pPr>
      <w:r>
        <w:rPr>
          <w:rFonts w:eastAsia="Arial" w:cs="Arial" w:ascii="Arial" w:hAnsi="Arial"/>
          <w:b/>
        </w:rPr>
        <w:t>3.2.1.</w:t>
      </w:r>
      <w:r>
        <w:rPr>
          <w:rFonts w:eastAsia="Arial" w:cs="Arial" w:ascii="Arial" w:hAnsi="Arial"/>
        </w:rPr>
        <w:t xml:space="preserve"> Empresas declaradas inidôneas por ato do poder público, empresas que estejam temporariamente impedidas de licitar, contratar e transacionar com a Administração Pública ou quaisquer de seus órgãos descentralizados;</w:t>
      </w:r>
    </w:p>
    <w:p>
      <w:pPr>
        <w:pStyle w:val="normal11"/>
        <w:tabs>
          <w:tab w:val="clear" w:pos="720"/>
          <w:tab w:val="left" w:pos="1260" w:leader="none"/>
        </w:tabs>
        <w:spacing w:lineRule="auto" w:line="360"/>
        <w:ind w:right="250"/>
        <w:jc w:val="both"/>
        <w:rPr>
          <w:rFonts w:ascii="Arial" w:hAnsi="Arial" w:eastAsia="Arial" w:cs="Arial"/>
        </w:rPr>
      </w:pPr>
      <w:r>
        <w:rPr>
          <w:rFonts w:eastAsia="Arial" w:cs="Arial" w:ascii="Arial" w:hAnsi="Arial"/>
          <w:b/>
        </w:rPr>
        <w:t>3.2.2.</w:t>
      </w:r>
      <w:r>
        <w:rPr>
          <w:rFonts w:eastAsia="Arial" w:cs="Arial" w:ascii="Arial" w:hAnsi="Arial"/>
        </w:rPr>
        <w:t xml:space="preserve"> Empresas de que sejam proprietários, controladores ou diretores, servidor público da ativa ou empregado de empresa pública ou sociedade de economia mista;</w:t>
      </w:r>
    </w:p>
    <w:p>
      <w:pPr>
        <w:pStyle w:val="normal11"/>
        <w:tabs>
          <w:tab w:val="clear" w:pos="720"/>
          <w:tab w:val="left" w:pos="1260" w:leader="none"/>
        </w:tabs>
        <w:spacing w:lineRule="auto" w:line="360"/>
        <w:ind w:right="250"/>
        <w:jc w:val="both"/>
        <w:rPr>
          <w:rFonts w:ascii="Arial" w:hAnsi="Arial" w:eastAsia="Arial" w:cs="Arial"/>
        </w:rPr>
      </w:pPr>
      <w:r>
        <w:rPr>
          <w:rFonts w:eastAsia="Arial" w:cs="Arial" w:ascii="Arial" w:hAnsi="Arial"/>
          <w:b/>
        </w:rPr>
        <w:t>3.2.3.</w:t>
      </w:r>
      <w:r>
        <w:rPr>
          <w:rFonts w:eastAsia="Arial" w:cs="Arial" w:ascii="Arial" w:hAnsi="Arial"/>
        </w:rPr>
        <w:t xml:space="preserve"> Empresas em processo falimentar e em processo concordatário;</w:t>
      </w:r>
    </w:p>
    <w:p>
      <w:pPr>
        <w:pStyle w:val="normal11"/>
        <w:tabs>
          <w:tab w:val="clear" w:pos="720"/>
          <w:tab w:val="left" w:pos="1260" w:leader="none"/>
        </w:tabs>
        <w:spacing w:lineRule="auto" w:line="360"/>
        <w:ind w:right="250"/>
        <w:jc w:val="both"/>
        <w:rPr>
          <w:rFonts w:ascii="Arial" w:hAnsi="Arial" w:eastAsia="Arial" w:cs="Arial"/>
        </w:rPr>
      </w:pPr>
      <w:r>
        <w:rPr>
          <w:rFonts w:eastAsia="Arial" w:cs="Arial" w:ascii="Arial" w:hAnsi="Arial"/>
          <w:b/>
        </w:rPr>
        <w:t>3.2.3.1.</w:t>
      </w:r>
      <w:r>
        <w:rPr>
          <w:rFonts w:eastAsia="Arial" w:cs="Arial" w:ascii="Arial" w:hAnsi="Arial"/>
        </w:rPr>
        <w:t xml:space="preserve"> As empresas em recuperação judicial, para a devida participação, deverão apresentar Certidão emitida pela instância judicial competente afirmando que a interessada está apta econômica e financeiramente a participar de procedimento licitatório, conforme Acórdão 1201/2020 – Plenário – Tribunal de Contas da União – TCU.</w:t>
      </w:r>
    </w:p>
    <w:p>
      <w:pPr>
        <w:pStyle w:val="normal11"/>
        <w:tabs>
          <w:tab w:val="clear" w:pos="720"/>
          <w:tab w:val="left" w:pos="1260" w:leader="none"/>
        </w:tabs>
        <w:spacing w:lineRule="auto" w:line="360"/>
        <w:ind w:right="250"/>
        <w:jc w:val="both"/>
        <w:rPr>
          <w:rFonts w:ascii="Arial" w:hAnsi="Arial" w:eastAsia="Arial" w:cs="Arial"/>
        </w:rPr>
      </w:pPr>
      <w:r>
        <w:rPr>
          <w:rFonts w:eastAsia="Arial" w:cs="Arial" w:ascii="Arial" w:hAnsi="Arial"/>
          <w:b/>
        </w:rPr>
        <w:t>3.2.4.</w:t>
      </w:r>
      <w:r>
        <w:rPr>
          <w:rFonts w:eastAsia="Arial" w:cs="Arial" w:ascii="Arial" w:hAnsi="Arial"/>
          <w:highlight w:val="white"/>
        </w:rPr>
        <w:t xml:space="preserve"> Empresas cujo objeto social não seja pertinente e compatível com o objeto da licitação.</w:t>
      </w:r>
    </w:p>
    <w:p>
      <w:pPr>
        <w:pStyle w:val="normal11"/>
        <w:tabs>
          <w:tab w:val="clear" w:pos="720"/>
          <w:tab w:val="left" w:pos="1260" w:leader="none"/>
        </w:tabs>
        <w:spacing w:lineRule="auto" w:line="360"/>
        <w:ind w:right="250"/>
        <w:jc w:val="both"/>
        <w:rPr>
          <w:rFonts w:ascii="Arial" w:hAnsi="Arial" w:eastAsia="Arial" w:cs="Arial"/>
        </w:rPr>
      </w:pPr>
      <w:r>
        <w:rPr>
          <w:rFonts w:eastAsia="Arial" w:cs="Arial" w:ascii="Arial" w:hAnsi="Arial"/>
          <w:b/>
        </w:rPr>
        <w:t>3.2.5.</w:t>
      </w:r>
      <w:r>
        <w:rPr>
          <w:rFonts w:eastAsia="Arial" w:cs="Arial" w:ascii="Arial" w:hAnsi="Arial"/>
        </w:rPr>
        <w:t xml:space="preserve"> Empresas proibidas de contratar com o Poder Público, nos termos do art. 72, § 8º, V da Lei nº 9.605/98;</w:t>
      </w:r>
    </w:p>
    <w:p>
      <w:pPr>
        <w:pStyle w:val="normal11"/>
        <w:spacing w:lineRule="auto" w:line="360"/>
        <w:ind w:right="250"/>
        <w:jc w:val="both"/>
        <w:rPr>
          <w:rFonts w:ascii="Arial" w:hAnsi="Arial" w:eastAsia="Arial" w:cs="Arial"/>
        </w:rPr>
      </w:pPr>
      <w:r>
        <w:rPr>
          <w:rFonts w:eastAsia="Arial" w:cs="Arial" w:ascii="Arial" w:hAnsi="Arial"/>
          <w:b/>
        </w:rPr>
        <w:t>3.2.6.</w:t>
      </w:r>
      <w:r>
        <w:rPr>
          <w:rFonts w:eastAsia="Arial" w:cs="Arial" w:ascii="Arial" w:hAnsi="Arial"/>
        </w:rPr>
        <w:t xml:space="preserve"> Empresas proibidas de contratar com o Poder Público nos termos do art. 12 da Lei nº 8.429/92;</w:t>
      </w:r>
    </w:p>
    <w:p>
      <w:pPr>
        <w:pStyle w:val="normal11"/>
        <w:spacing w:lineRule="auto" w:line="360"/>
        <w:ind w:right="250"/>
        <w:jc w:val="both"/>
        <w:rPr>
          <w:rFonts w:ascii="Arial" w:hAnsi="Arial" w:eastAsia="Arial" w:cs="Arial"/>
        </w:rPr>
      </w:pPr>
      <w:r>
        <w:rPr>
          <w:rFonts w:eastAsia="Arial" w:cs="Arial" w:ascii="Arial" w:hAnsi="Arial"/>
          <w:b/>
        </w:rPr>
        <w:t>3.3.</w:t>
      </w:r>
      <w:r>
        <w:rPr>
          <w:rFonts w:eastAsia="Arial" w:cs="Arial" w:ascii="Arial" w:hAnsi="Arial"/>
        </w:rPr>
        <w:t xml:space="preserve"> O descumprimento de qualquer condição de participação acarretará na inabilitação do licitante.</w:t>
      </w:r>
    </w:p>
    <w:p>
      <w:pPr>
        <w:pStyle w:val="normal11"/>
        <w:pBdr/>
        <w:tabs>
          <w:tab w:val="clear" w:pos="720"/>
          <w:tab w:val="left" w:pos="829" w:leader="none"/>
        </w:tabs>
        <w:spacing w:lineRule="auto" w:line="360"/>
        <w:ind w:right="250"/>
        <w:jc w:val="both"/>
        <w:rPr>
          <w:rFonts w:ascii="Arial" w:hAnsi="Arial" w:eastAsia="Arial" w:cs="Arial"/>
          <w:color w:val="000000"/>
        </w:rPr>
      </w:pPr>
      <w:r>
        <w:rPr>
          <w:rFonts w:eastAsia="Arial" w:cs="Arial" w:ascii="Arial" w:hAnsi="Arial"/>
          <w:b/>
          <w:color w:val="000000"/>
        </w:rPr>
        <w:t>3.4.</w:t>
      </w:r>
      <w:r>
        <w:rPr>
          <w:rFonts w:eastAsia="Arial" w:cs="Arial" w:ascii="Arial" w:hAnsi="Arial"/>
          <w:color w:val="000000"/>
        </w:rPr>
        <w:t xml:space="preserve"> A participação na presente licitação implica na aceitação plena das condições expressas neste Edital e em seus anexos.</w:t>
      </w:r>
    </w:p>
    <w:p>
      <w:pPr>
        <w:pStyle w:val="normal11"/>
        <w:pBdr/>
        <w:tabs>
          <w:tab w:val="clear" w:pos="720"/>
          <w:tab w:val="left" w:pos="829" w:leader="none"/>
        </w:tabs>
        <w:spacing w:lineRule="auto" w:line="360"/>
        <w:ind w:left="284"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ind w:hanging="185" w:left="416" w:right="250"/>
        <w:jc w:val="both"/>
        <w:rPr>
          <w:rFonts w:ascii="Arial" w:hAnsi="Arial" w:eastAsia="Arial" w:cs="Arial"/>
          <w:b/>
          <w:color w:val="000000"/>
        </w:rPr>
      </w:pPr>
      <w:r>
        <w:rPr>
          <w:rFonts w:eastAsia="Arial" w:cs="Arial" w:ascii="Arial" w:hAnsi="Arial"/>
          <w:b/>
          <w:color w:val="000000"/>
        </w:rPr>
        <w:t>- DO CREDENCIAMENTO NO SISTEMA ELETRÔNICO</w:t>
      </w:r>
    </w:p>
    <w:p>
      <w:pPr>
        <w:pStyle w:val="normal11"/>
        <w:numPr>
          <w:ilvl w:val="1"/>
          <w:numId w:val="18"/>
        </w:numPr>
        <w:pBdr/>
        <w:tabs>
          <w:tab w:val="clear" w:pos="720"/>
          <w:tab w:val="left" w:pos="635" w:leader="none"/>
        </w:tabs>
        <w:spacing w:lineRule="auto" w:line="360"/>
        <w:ind w:right="250"/>
        <w:jc w:val="both"/>
        <w:rPr>
          <w:rFonts w:ascii="Arial" w:hAnsi="Arial" w:eastAsia="Arial" w:cs="Arial"/>
          <w:color w:val="000000"/>
        </w:rPr>
      </w:pPr>
      <w:r>
        <w:rPr>
          <w:rFonts w:eastAsia="Arial" w:cs="Arial" w:ascii="Arial" w:hAnsi="Arial"/>
          <w:b/>
          <w:color w:val="000000"/>
        </w:rPr>
        <w:t>4.1.</w:t>
      </w:r>
      <w:r>
        <w:rPr>
          <w:rFonts w:eastAsia="Arial" w:cs="Arial" w:ascii="Arial" w:hAnsi="Arial"/>
          <w:color w:val="000000"/>
        </w:rPr>
        <w:t xml:space="preserve"> O credenciamento é o nível básico do registro cadastral no SICAF, que permite a participação dos interessados na modalidade licitatória </w:t>
      </w:r>
      <w:r>
        <w:rPr>
          <w:rFonts w:eastAsia="Arial" w:cs="Arial" w:ascii="Arial" w:hAnsi="Arial"/>
          <w:b/>
          <w:color w:val="000000"/>
        </w:rPr>
        <w:t>Concorrência</w:t>
      </w:r>
      <w:r>
        <w:rPr>
          <w:rFonts w:eastAsia="Arial" w:cs="Arial" w:ascii="Arial" w:hAnsi="Arial"/>
          <w:color w:val="000000"/>
        </w:rPr>
        <w:t xml:space="preserve">, em sua forma eletrônica, em conformidade com a Instrução Normativa </w:t>
      </w:r>
      <w:hyperlink r:id="rId6">
        <w:r>
          <w:rPr>
            <w:rStyle w:val="Style3"/>
            <w:rFonts w:eastAsia="Arial" w:cs="Arial" w:ascii="Arial" w:hAnsi="Arial"/>
            <w:color w:val="000000"/>
            <w:u w:val="single"/>
          </w:rPr>
          <w:t>SEGES /ME nº 03. de 2018.</w:t>
        </w:r>
      </w:hyperlink>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4.2.</w:t>
      </w:r>
      <w:r>
        <w:rPr>
          <w:rFonts w:eastAsia="Arial" w:cs="Arial" w:ascii="Arial" w:hAnsi="Arial"/>
          <w:color w:val="000000"/>
        </w:rPr>
        <w:t xml:space="preserve"> Para participação na Concorrência, o proponente deverá assinalar em campo próprio do sistema eletrônico, todas as declarações disponíveis, sendo facultada apenas a opção relativa aos requisitos de enquadramento na Lei Complementar nº 123/2006.</w:t>
      </w:r>
    </w:p>
    <w:p>
      <w:pPr>
        <w:pStyle w:val="normal11"/>
        <w:numPr>
          <w:ilvl w:val="2"/>
          <w:numId w:val="18"/>
        </w:numPr>
        <w:pBdr/>
        <w:tabs>
          <w:tab w:val="clear" w:pos="720"/>
          <w:tab w:val="left" w:pos="801" w:leader="none"/>
        </w:tabs>
        <w:spacing w:lineRule="auto" w:line="360"/>
        <w:ind w:right="250"/>
        <w:jc w:val="both"/>
        <w:rPr>
          <w:rFonts w:ascii="Arial" w:hAnsi="Arial" w:eastAsia="Arial" w:cs="Arial"/>
          <w:color w:val="000000"/>
        </w:rPr>
      </w:pPr>
      <w:r>
        <w:rPr>
          <w:rFonts w:eastAsia="Arial" w:cs="Arial" w:ascii="Arial" w:hAnsi="Arial"/>
          <w:b/>
          <w:color w:val="000000"/>
        </w:rPr>
        <w:t>4.3.</w:t>
      </w:r>
      <w:r>
        <w:rPr>
          <w:rFonts w:eastAsia="Arial" w:cs="Arial" w:ascii="Arial" w:hAnsi="Arial"/>
          <w:color w:val="000000"/>
        </w:rPr>
        <w:t xml:space="preserve"> A declaração falsa relativa ao cumprimento de qualquer condição sujeitará o proponente às sanções previstas em lei e neste Edital.</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4.4.</w:t>
      </w:r>
      <w:r>
        <w:rPr>
          <w:rFonts w:eastAsia="Arial" w:cs="Arial" w:ascii="Arial" w:hAnsi="Arial"/>
          <w:color w:val="000000"/>
        </w:rPr>
        <w:t xml:space="preserve"> Nenhuma pessoa, ainda que munida de procuração, poderá representar mais de uma empresa no mesmo item deste processo, sob pena de exclusão sumária de ambos os proponentes representados.</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ind w:hanging="185" w:left="416" w:right="250"/>
        <w:jc w:val="both"/>
        <w:rPr>
          <w:rFonts w:ascii="Arial" w:hAnsi="Arial" w:eastAsia="Arial" w:cs="Arial"/>
          <w:b/>
          <w:color w:val="000000"/>
        </w:rPr>
      </w:pPr>
      <w:r>
        <w:rPr>
          <w:rFonts w:eastAsia="Arial" w:cs="Arial" w:ascii="Arial" w:hAnsi="Arial"/>
          <w:color w:val="000000"/>
        </w:rPr>
        <w:t xml:space="preserve">- </w:t>
      </w:r>
      <w:r>
        <w:rPr>
          <w:rFonts w:eastAsia="Arial" w:cs="Arial" w:ascii="Arial" w:hAnsi="Arial"/>
          <w:b/>
          <w:color w:val="000000"/>
        </w:rPr>
        <w:t>DA PARTICIPAÇÃO NO SISTEMA ELETRÔNICO</w:t>
      </w:r>
    </w:p>
    <w:p>
      <w:pPr>
        <w:pStyle w:val="normal11"/>
        <w:numPr>
          <w:ilvl w:val="1"/>
          <w:numId w:val="18"/>
        </w:numPr>
        <w:pBdr/>
        <w:tabs>
          <w:tab w:val="clear" w:pos="720"/>
          <w:tab w:val="left" w:pos="669" w:leader="none"/>
        </w:tabs>
        <w:spacing w:lineRule="auto" w:line="360"/>
        <w:ind w:right="250"/>
        <w:jc w:val="both"/>
        <w:rPr>
          <w:rFonts w:ascii="Arial" w:hAnsi="Arial" w:eastAsia="Arial" w:cs="Arial"/>
          <w:color w:val="000000"/>
        </w:rPr>
      </w:pPr>
      <w:r>
        <w:rPr>
          <w:rFonts w:eastAsia="Arial" w:cs="Arial" w:ascii="Arial" w:hAnsi="Arial"/>
          <w:b/>
          <w:color w:val="000000"/>
        </w:rPr>
        <w:t>5.1.</w:t>
      </w:r>
      <w:r>
        <w:rPr>
          <w:rFonts w:eastAsia="Arial" w:cs="Arial" w:ascii="Arial" w:hAnsi="Arial"/>
          <w:color w:val="000000"/>
        </w:rPr>
        <w:t xml:space="preserve"> A participação no certame se dará por meio da digitação da senha pessoal e intransferível do representante credenciado, e subsequente encaminhamento da proposta de preços e dos documentos de habilitação, exclusivamente, por meio do sistema eletrônico através do site </w:t>
      </w:r>
      <w:hyperlink r:id="rId7">
        <w:r>
          <w:rPr>
            <w:rStyle w:val="Style3"/>
            <w:rFonts w:eastAsia="Arial" w:cs="Arial" w:ascii="Arial" w:hAnsi="Arial"/>
            <w:color w:val="000000"/>
          </w:rPr>
          <w:t>www.gov.br/compras/pt-br,</w:t>
        </w:r>
      </w:hyperlink>
      <w:r>
        <w:rPr>
          <w:rFonts w:eastAsia="Arial" w:cs="Arial" w:ascii="Arial" w:hAnsi="Arial"/>
          <w:color w:val="000000"/>
        </w:rPr>
        <w:t xml:space="preserve"> observando a data e o horário limite estabelecido no item 1 deste Edital.</w:t>
      </w:r>
    </w:p>
    <w:p>
      <w:pPr>
        <w:pStyle w:val="normal11"/>
        <w:numPr>
          <w:ilvl w:val="1"/>
          <w:numId w:val="18"/>
        </w:numPr>
        <w:pBdr/>
        <w:tabs>
          <w:tab w:val="clear" w:pos="720"/>
          <w:tab w:val="left" w:pos="603" w:leader="none"/>
        </w:tabs>
        <w:spacing w:lineRule="auto" w:line="360"/>
        <w:ind w:right="250"/>
        <w:jc w:val="both"/>
        <w:rPr>
          <w:rFonts w:ascii="Arial" w:hAnsi="Arial" w:eastAsia="Arial" w:cs="Arial"/>
          <w:color w:val="000000"/>
        </w:rPr>
      </w:pPr>
      <w:r>
        <w:rPr>
          <w:rFonts w:eastAsia="Arial" w:cs="Arial" w:ascii="Arial" w:hAnsi="Arial"/>
          <w:b/>
          <w:color w:val="000000"/>
        </w:rPr>
        <w:t>5.2.</w:t>
      </w:r>
      <w:r>
        <w:rPr>
          <w:rFonts w:eastAsia="Arial" w:cs="Arial" w:ascii="Arial" w:hAnsi="Arial"/>
          <w:color w:val="000000"/>
        </w:rPr>
        <w:t xml:space="preserve"> Poderão participar desta Concorrência proponente cujo ramo de atividade seja compatível com o objeto desta licitação, e que estejam com Credenciamento regular no Sistema de Cadastramento Unificado de Fornecedores – SICAF, conforme disposto no art. 9º da IN SEGES/MP nº 3, de 2018.</w:t>
      </w:r>
    </w:p>
    <w:p>
      <w:pPr>
        <w:pStyle w:val="normal11"/>
        <w:numPr>
          <w:ilvl w:val="1"/>
          <w:numId w:val="18"/>
        </w:numPr>
        <w:pBdr/>
        <w:tabs>
          <w:tab w:val="clear" w:pos="720"/>
          <w:tab w:val="left" w:pos="637" w:leader="none"/>
        </w:tabs>
        <w:spacing w:lineRule="auto" w:line="360"/>
        <w:ind w:right="250"/>
        <w:jc w:val="both"/>
        <w:rPr>
          <w:rFonts w:ascii="Arial" w:hAnsi="Arial" w:eastAsia="Arial" w:cs="Arial"/>
          <w:color w:val="000000"/>
        </w:rPr>
      </w:pPr>
      <w:r>
        <w:rPr>
          <w:rFonts w:eastAsia="Arial" w:cs="Arial" w:ascii="Arial" w:hAnsi="Arial"/>
          <w:b/>
          <w:color w:val="000000"/>
        </w:rPr>
        <w:t>5.3.</w:t>
      </w:r>
      <w:r>
        <w:rPr>
          <w:rFonts w:eastAsia="Arial" w:cs="Arial" w:ascii="Arial" w:hAnsi="Arial"/>
          <w:color w:val="000000"/>
        </w:rPr>
        <w:t xml:space="preserve"> Caberá ao proponente acompanhar as operações no sistema eletrônico durante a sessão pública da Concorrência, ficando responsável pelo ônus decorrente da perda de negócios diante da inobservância de quaisquer mensagens emitidas pelo sistema ou de sua desconexão.</w:t>
      </w:r>
    </w:p>
    <w:p>
      <w:pPr>
        <w:pStyle w:val="normal11"/>
        <w:numPr>
          <w:ilvl w:val="1"/>
          <w:numId w:val="18"/>
        </w:numPr>
        <w:pBdr/>
        <w:tabs>
          <w:tab w:val="clear" w:pos="720"/>
          <w:tab w:val="left" w:pos="685" w:leader="none"/>
        </w:tabs>
        <w:spacing w:lineRule="auto" w:line="360"/>
        <w:ind w:right="250"/>
        <w:jc w:val="both"/>
        <w:rPr>
          <w:rFonts w:ascii="Arial" w:hAnsi="Arial" w:eastAsia="Arial" w:cs="Arial"/>
          <w:color w:val="000000"/>
        </w:rPr>
      </w:pPr>
      <w:r>
        <w:rPr>
          <w:rFonts w:eastAsia="Arial" w:cs="Arial" w:ascii="Arial" w:hAnsi="Arial"/>
          <w:b/>
          <w:color w:val="000000"/>
        </w:rPr>
        <w:t>5.4.</w:t>
      </w:r>
      <w:r>
        <w:rPr>
          <w:rFonts w:eastAsia="Arial" w:cs="Arial" w:ascii="Arial" w:hAnsi="Arial"/>
          <w:color w:val="000000"/>
        </w:rPr>
        <w:t xml:space="preserve"> No caso de desconexão com o Agente de Contratação no decorrer da etapa competitiva da Concorrência, o sistema eletrônico poderá permanecer acessível aos proponentes para a recepção dos lances, retornando ao Agente de Contratação, quando possível, sua atuação no certame, sem prejuízo dos atos realizados.</w:t>
      </w:r>
    </w:p>
    <w:p>
      <w:pPr>
        <w:pStyle w:val="normal11"/>
        <w:numPr>
          <w:ilvl w:val="1"/>
          <w:numId w:val="18"/>
        </w:numPr>
        <w:pBdr/>
        <w:tabs>
          <w:tab w:val="clear" w:pos="720"/>
          <w:tab w:val="left" w:pos="617" w:leader="none"/>
        </w:tabs>
        <w:spacing w:lineRule="auto" w:line="360"/>
        <w:ind w:right="250"/>
        <w:jc w:val="both"/>
        <w:rPr>
          <w:rFonts w:ascii="Arial" w:hAnsi="Arial" w:eastAsia="Arial" w:cs="Arial"/>
          <w:color w:val="000000"/>
        </w:rPr>
      </w:pPr>
      <w:r>
        <w:rPr>
          <w:rFonts w:eastAsia="Arial" w:cs="Arial" w:ascii="Arial" w:hAnsi="Arial"/>
          <w:b/>
          <w:color w:val="000000"/>
        </w:rPr>
        <w:t>5.5.</w:t>
      </w:r>
      <w:r>
        <w:rPr>
          <w:rFonts w:eastAsia="Arial" w:cs="Arial" w:ascii="Arial" w:hAnsi="Arial"/>
          <w:color w:val="000000"/>
        </w:rPr>
        <w:t xml:space="preserve"> Quando a desconexão persistir por tempo superior a 10 (dez) minutos, a sessão da Concorrência será suspensa e terá reinício somente decorridas 24 (vinte e quatro) horas após a comunicação do fato aos participantes, no sítio eletrônico utilizado para divulgação.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ind w:hanging="185" w:left="416" w:right="250"/>
        <w:jc w:val="both"/>
        <w:rPr>
          <w:rFonts w:ascii="Arial" w:hAnsi="Arial" w:eastAsia="Arial" w:cs="Arial"/>
          <w:b/>
          <w:color w:val="000000"/>
        </w:rPr>
      </w:pPr>
      <w:r>
        <w:rPr>
          <w:rFonts w:eastAsia="Arial" w:cs="Arial" w:ascii="Arial" w:hAnsi="Arial"/>
          <w:b/>
          <w:color w:val="000000"/>
        </w:rPr>
        <w:t>- DA APRESENTAÇÃO DA PROPOSTA NO SISTEMA ELETRÔNICO</w:t>
      </w:r>
    </w:p>
    <w:p>
      <w:pPr>
        <w:pStyle w:val="normal11"/>
        <w:numPr>
          <w:ilvl w:val="1"/>
          <w:numId w:val="18"/>
        </w:numPr>
        <w:pBdr/>
        <w:tabs>
          <w:tab w:val="clear" w:pos="720"/>
          <w:tab w:val="left" w:pos="672" w:leader="none"/>
        </w:tabs>
        <w:spacing w:lineRule="auto" w:line="360"/>
        <w:ind w:right="250"/>
        <w:jc w:val="both"/>
        <w:rPr>
          <w:rFonts w:ascii="Arial" w:hAnsi="Arial" w:eastAsia="Arial" w:cs="Arial"/>
          <w:color w:val="000000"/>
        </w:rPr>
      </w:pPr>
      <w:r>
        <w:rPr>
          <w:rFonts w:eastAsia="Arial" w:cs="Arial" w:ascii="Arial" w:hAnsi="Arial"/>
          <w:b/>
          <w:color w:val="000000"/>
        </w:rPr>
        <w:t>6.1.</w:t>
      </w:r>
      <w:r>
        <w:rPr>
          <w:rFonts w:eastAsia="Arial" w:cs="Arial" w:ascii="Arial" w:hAnsi="Arial"/>
          <w:color w:val="000000"/>
        </w:rPr>
        <w:t xml:space="preserve"> Os proponentes encaminharão, exclusivamente por meio do sistema eletrônico, proposta com a descrição do objeto ofertado e o preço, até a data e o horário estabelecidos para abertura da sessão pública.</w:t>
      </w:r>
    </w:p>
    <w:p>
      <w:pPr>
        <w:pStyle w:val="normal11"/>
        <w:numPr>
          <w:ilvl w:val="1"/>
          <w:numId w:val="18"/>
        </w:numPr>
        <w:pBdr/>
        <w:tabs>
          <w:tab w:val="clear" w:pos="720"/>
          <w:tab w:val="left" w:pos="632" w:leader="none"/>
        </w:tabs>
        <w:spacing w:lineRule="auto" w:line="360"/>
        <w:ind w:right="250"/>
        <w:jc w:val="both"/>
        <w:rPr>
          <w:rFonts w:ascii="Arial" w:hAnsi="Arial" w:eastAsia="Arial" w:cs="Arial"/>
          <w:color w:val="000000"/>
        </w:rPr>
      </w:pPr>
      <w:r>
        <w:rPr>
          <w:rFonts w:eastAsia="Arial" w:cs="Arial" w:ascii="Arial" w:hAnsi="Arial"/>
          <w:b/>
          <w:color w:val="000000"/>
        </w:rPr>
        <w:t>6.2.</w:t>
      </w:r>
      <w:r>
        <w:rPr>
          <w:rFonts w:eastAsia="Arial" w:cs="Arial" w:ascii="Arial" w:hAnsi="Arial"/>
          <w:color w:val="000000"/>
        </w:rPr>
        <w:t xml:space="preserve"> Ao enviar sua proposta pelo sistema eletrônico o proponente deverá necessariamente postar apenas o </w:t>
      </w:r>
      <w:r>
        <w:rPr>
          <w:rFonts w:eastAsia="Arial" w:cs="Arial" w:ascii="Arial" w:hAnsi="Arial"/>
          <w:b/>
          <w:color w:val="000000"/>
        </w:rPr>
        <w:t>VALOR GLOBAL</w:t>
      </w:r>
    </w:p>
    <w:p>
      <w:pPr>
        <w:pStyle w:val="normal11"/>
        <w:numPr>
          <w:ilvl w:val="1"/>
          <w:numId w:val="18"/>
        </w:numPr>
        <w:pBdr/>
        <w:tabs>
          <w:tab w:val="clear" w:pos="720"/>
          <w:tab w:val="left" w:pos="647" w:leader="none"/>
        </w:tabs>
        <w:spacing w:lineRule="auto" w:line="360"/>
        <w:ind w:right="250"/>
        <w:jc w:val="both"/>
        <w:rPr>
          <w:rFonts w:ascii="Arial" w:hAnsi="Arial" w:eastAsia="Arial" w:cs="Arial"/>
          <w:color w:val="000000"/>
        </w:rPr>
      </w:pPr>
      <w:r>
        <w:rPr>
          <w:rFonts w:eastAsia="Arial" w:cs="Arial" w:ascii="Arial" w:hAnsi="Arial"/>
          <w:b/>
          <w:color w:val="000000"/>
        </w:rPr>
        <w:t xml:space="preserve">6.3. </w:t>
      </w:r>
      <w:r>
        <w:rPr>
          <w:rFonts w:eastAsia="Arial" w:cs="Arial" w:ascii="Arial" w:hAnsi="Arial"/>
          <w:color w:val="000000"/>
        </w:rPr>
        <w:t>O encaminhamento da proposta pressupõe o pleno conhecimento e atendimento às exigências de habilitação previstas no Edital e seus Anexos.</w:t>
      </w:r>
    </w:p>
    <w:p>
      <w:pPr>
        <w:pStyle w:val="normal11"/>
        <w:numPr>
          <w:ilvl w:val="1"/>
          <w:numId w:val="18"/>
        </w:numPr>
        <w:pBdr/>
        <w:tabs>
          <w:tab w:val="clear" w:pos="720"/>
          <w:tab w:val="left" w:pos="621" w:leader="none"/>
        </w:tabs>
        <w:spacing w:lineRule="auto" w:line="360"/>
        <w:ind w:right="250"/>
        <w:jc w:val="both"/>
        <w:rPr>
          <w:rFonts w:ascii="Arial" w:hAnsi="Arial" w:eastAsia="Arial" w:cs="Arial"/>
          <w:color w:val="000000"/>
        </w:rPr>
      </w:pPr>
      <w:r>
        <w:rPr>
          <w:rFonts w:eastAsia="Arial" w:cs="Arial" w:ascii="Arial" w:hAnsi="Arial"/>
          <w:b/>
          <w:color w:val="000000"/>
        </w:rPr>
        <w:t>6.4.</w:t>
      </w:r>
      <w:r>
        <w:rPr>
          <w:rFonts w:eastAsia="Arial" w:cs="Arial" w:ascii="Arial" w:hAnsi="Arial"/>
          <w:color w:val="000000"/>
        </w:rPr>
        <w:t xml:space="preserve"> O proponente será responsável por todas as transações que forem efetuadas em seu nome no sistema eletrônico, assumindo como firmes e verdadeiras suas propostas e lances.</w:t>
      </w:r>
    </w:p>
    <w:p>
      <w:pPr>
        <w:pStyle w:val="normal11"/>
        <w:numPr>
          <w:ilvl w:val="1"/>
          <w:numId w:val="18"/>
        </w:numPr>
        <w:pBdr/>
        <w:tabs>
          <w:tab w:val="clear" w:pos="720"/>
          <w:tab w:val="left" w:pos="647" w:leader="none"/>
        </w:tabs>
        <w:spacing w:lineRule="auto" w:line="360"/>
        <w:ind w:right="250"/>
        <w:jc w:val="both"/>
        <w:rPr>
          <w:rFonts w:ascii="Arial" w:hAnsi="Arial" w:eastAsia="Arial" w:cs="Arial"/>
          <w:color w:val="000000"/>
        </w:rPr>
      </w:pPr>
      <w:r>
        <w:rPr>
          <w:rFonts w:eastAsia="Arial" w:cs="Arial" w:ascii="Arial" w:hAnsi="Arial"/>
          <w:b/>
          <w:color w:val="000000"/>
        </w:rPr>
        <w:t xml:space="preserve">6.5. </w:t>
      </w:r>
      <w:r>
        <w:rPr>
          <w:rFonts w:eastAsia="Arial" w:cs="Arial" w:ascii="Arial" w:hAnsi="Arial"/>
          <w:color w:val="000000"/>
        </w:rPr>
        <w:t>Quanto ao valor da proposta postada eletronicamente, todas entrarão na disputa de lance, porém somente será classificado o valor da proposta que estiver dentro do valor estimado/máximo.</w:t>
      </w:r>
    </w:p>
    <w:p>
      <w:pPr>
        <w:pStyle w:val="normal11"/>
        <w:numPr>
          <w:ilvl w:val="1"/>
          <w:numId w:val="16"/>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6.6.</w:t>
      </w:r>
      <w:r>
        <w:rPr>
          <w:rFonts w:eastAsia="Arial" w:cs="Arial" w:ascii="Arial" w:hAnsi="Arial"/>
          <w:color w:val="000000"/>
        </w:rPr>
        <w:t xml:space="preserve"> O proponente deverá enviar sua proposta mediante o preenchimento, no sistema eletrônico, dos seguintes campos:</w:t>
      </w:r>
    </w:p>
    <w:p>
      <w:pPr>
        <w:pStyle w:val="normal11"/>
        <w:numPr>
          <w:ilvl w:val="2"/>
          <w:numId w:val="16"/>
        </w:numPr>
        <w:pBdr/>
        <w:tabs>
          <w:tab w:val="clear" w:pos="720"/>
          <w:tab w:val="left" w:pos="786" w:leader="none"/>
        </w:tabs>
        <w:spacing w:lineRule="auto" w:line="360"/>
        <w:ind w:hanging="554" w:right="250"/>
        <w:jc w:val="both"/>
        <w:rPr>
          <w:rFonts w:ascii="Arial" w:hAnsi="Arial" w:eastAsia="Arial" w:cs="Arial"/>
          <w:color w:val="000000"/>
        </w:rPr>
      </w:pPr>
      <w:r>
        <w:rPr>
          <w:rFonts w:eastAsia="Arial" w:cs="Arial" w:ascii="Arial" w:hAnsi="Arial"/>
          <w:color w:val="000000"/>
        </w:rPr>
        <w:t>- descrição detalhada do objeto, no que for aplicável;</w:t>
      </w:r>
    </w:p>
    <w:p>
      <w:pPr>
        <w:pStyle w:val="normal11"/>
        <w:numPr>
          <w:ilvl w:val="2"/>
          <w:numId w:val="16"/>
        </w:numPr>
        <w:pBdr/>
        <w:tabs>
          <w:tab w:val="clear" w:pos="720"/>
          <w:tab w:val="left" w:pos="786" w:leader="none"/>
        </w:tabs>
        <w:spacing w:lineRule="auto" w:line="360"/>
        <w:ind w:right="250"/>
        <w:jc w:val="both"/>
        <w:rPr>
          <w:rFonts w:ascii="Arial" w:hAnsi="Arial" w:eastAsia="Arial" w:cs="Arial"/>
          <w:color w:val="000000"/>
        </w:rPr>
      </w:pPr>
      <w:r>
        <w:rPr>
          <w:rFonts w:eastAsia="Arial" w:cs="Arial" w:ascii="Arial" w:hAnsi="Arial"/>
          <w:color w:val="000000"/>
        </w:rPr>
        <w:t>- valor total.</w:t>
      </w:r>
    </w:p>
    <w:p>
      <w:pPr>
        <w:pStyle w:val="normal11"/>
        <w:numPr>
          <w:ilvl w:val="1"/>
          <w:numId w:val="22"/>
        </w:numPr>
        <w:pBdr/>
        <w:tabs>
          <w:tab w:val="clear" w:pos="720"/>
          <w:tab w:val="left" w:pos="601" w:leader="none"/>
          <w:tab w:val="left" w:pos="993" w:leader="none"/>
        </w:tabs>
        <w:spacing w:lineRule="auto" w:line="360"/>
        <w:ind w:hanging="426" w:left="426" w:right="250"/>
        <w:jc w:val="both"/>
        <w:rPr>
          <w:rFonts w:ascii="Arial" w:hAnsi="Arial" w:eastAsia="Arial" w:cs="Arial"/>
          <w:color w:val="000000"/>
        </w:rPr>
      </w:pPr>
      <w:r>
        <w:rPr>
          <w:rFonts w:eastAsia="Arial" w:cs="Arial" w:ascii="Arial" w:hAnsi="Arial"/>
          <w:color w:val="000000"/>
        </w:rPr>
        <w:t>É vedada a cotação parcial de itens ou de quantidade inferior à demandada nesta licitação.</w:t>
      </w:r>
    </w:p>
    <w:p>
      <w:pPr>
        <w:pStyle w:val="normal11"/>
        <w:pBdr/>
        <w:spacing w:lineRule="auto" w:line="360"/>
        <w:ind w:hanging="426" w:left="426" w:right="250"/>
        <w:jc w:val="both"/>
        <w:rPr>
          <w:rFonts w:ascii="Arial" w:hAnsi="Arial" w:eastAsia="Arial" w:cs="Arial"/>
          <w:color w:val="000000"/>
        </w:rPr>
      </w:pPr>
      <w:r>
        <w:rPr>
          <w:rFonts w:eastAsia="Arial" w:cs="Arial" w:ascii="Arial" w:hAnsi="Arial"/>
          <w:b/>
          <w:color w:val="000000"/>
        </w:rPr>
        <w:t>6.8.</w:t>
      </w:r>
      <w:r>
        <w:rPr>
          <w:rFonts w:eastAsia="Arial" w:cs="Arial" w:ascii="Arial" w:hAnsi="Arial"/>
          <w:color w:val="000000"/>
        </w:rPr>
        <w:t xml:space="preserve"> Todas as especificações do objeto contidas na proposta vinculam a proponente.</w:t>
      </w:r>
    </w:p>
    <w:p>
      <w:pPr>
        <w:pStyle w:val="normal11"/>
        <w:numPr>
          <w:ilvl w:val="1"/>
          <w:numId w:val="16"/>
        </w:numPr>
        <w:pBdr/>
        <w:tabs>
          <w:tab w:val="clear" w:pos="720"/>
          <w:tab w:val="left" w:pos="788" w:leader="none"/>
        </w:tabs>
        <w:spacing w:lineRule="auto" w:line="360"/>
        <w:ind w:right="250"/>
        <w:jc w:val="both"/>
        <w:rPr>
          <w:rFonts w:ascii="Arial" w:hAnsi="Arial" w:eastAsia="Arial" w:cs="Arial"/>
          <w:color w:val="000000"/>
        </w:rPr>
      </w:pPr>
      <w:r>
        <w:rPr>
          <w:rFonts w:eastAsia="Arial" w:cs="Arial" w:ascii="Arial" w:hAnsi="Arial"/>
          <w:b/>
          <w:color w:val="000000"/>
        </w:rPr>
        <w:t>6.9.</w:t>
      </w:r>
      <w:r>
        <w:rPr>
          <w:rFonts w:eastAsia="Arial" w:cs="Arial" w:ascii="Arial" w:hAnsi="Arial"/>
          <w:color w:val="000000"/>
        </w:rPr>
        <w:t xml:space="preserve"> Nos valores propostos estarão inclusos todos os custos operacionais, encargos previdenciários, trabalhistas, tributários, comerciais e quaisquer outros que incidam direta ou indiretamente na execução da obra.</w:t>
      </w:r>
    </w:p>
    <w:p>
      <w:pPr>
        <w:pStyle w:val="normal11"/>
        <w:numPr>
          <w:ilvl w:val="1"/>
          <w:numId w:val="16"/>
        </w:numPr>
        <w:pBdr/>
        <w:spacing w:lineRule="auto" w:line="360"/>
        <w:ind w:right="250"/>
        <w:jc w:val="both"/>
        <w:rPr>
          <w:rFonts w:ascii="Arial" w:hAnsi="Arial" w:eastAsia="Arial" w:cs="Arial"/>
          <w:color w:val="000000"/>
        </w:rPr>
      </w:pPr>
      <w:r>
        <w:rPr>
          <w:rFonts w:eastAsia="Arial" w:cs="Arial" w:ascii="Arial" w:hAnsi="Arial"/>
          <w:b/>
          <w:color w:val="000000"/>
        </w:rPr>
        <w:t>6.10.</w:t>
      </w:r>
      <w:r>
        <w:rPr>
          <w:rFonts w:eastAsia="Arial" w:cs="Arial" w:ascii="Arial" w:hAnsi="Arial"/>
          <w:color w:val="000000"/>
        </w:rPr>
        <w:t xml:space="preserve"> Os preços ofertados, tanto na proposta inicial, quanto na etapa de lances, serão de exclusiva responsabilidade do proponente, não lhe assistindo o direito de pleitear qualquer alteração, sob alegação de erro, omissão ou qualquer outro pretexto.</w:t>
      </w:r>
    </w:p>
    <w:p>
      <w:pPr>
        <w:pStyle w:val="normal11"/>
        <w:numPr>
          <w:ilvl w:val="1"/>
          <w:numId w:val="16"/>
        </w:numPr>
        <w:pBdr/>
        <w:tabs>
          <w:tab w:val="clear" w:pos="720"/>
          <w:tab w:val="left" w:pos="767" w:leader="none"/>
        </w:tabs>
        <w:spacing w:lineRule="auto" w:line="360"/>
        <w:ind w:right="250"/>
        <w:jc w:val="both"/>
        <w:rPr>
          <w:rFonts w:ascii="Arial" w:hAnsi="Arial" w:eastAsia="Arial" w:cs="Arial"/>
          <w:color w:val="000000"/>
        </w:rPr>
      </w:pPr>
      <w:r>
        <w:rPr>
          <w:rFonts w:eastAsia="Arial" w:cs="Arial" w:ascii="Arial" w:hAnsi="Arial"/>
          <w:color w:val="000000"/>
        </w:rPr>
        <w:t>- O prazo de validade da proposta não será inferior a 90 (noventa) dias</w:t>
      </w:r>
      <w:r>
        <w:rPr>
          <w:rFonts w:eastAsia="Arial" w:cs="Arial" w:ascii="Arial" w:hAnsi="Arial"/>
          <w:b/>
          <w:color w:val="000000"/>
        </w:rPr>
        <w:t xml:space="preserve">, </w:t>
      </w:r>
      <w:r>
        <w:rPr>
          <w:rFonts w:eastAsia="Arial" w:cs="Arial" w:ascii="Arial" w:hAnsi="Arial"/>
          <w:color w:val="000000"/>
        </w:rPr>
        <w:t>a contar da data de sua apresentação.</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6.11.</w:t>
      </w:r>
      <w:r>
        <w:rPr>
          <w:rFonts w:eastAsia="Arial" w:cs="Arial" w:ascii="Arial" w:hAnsi="Arial"/>
          <w:color w:val="000000"/>
        </w:rPr>
        <w:t xml:space="preserve"> Incumbirá ao proponente acompanhar as operações no sistema eletrônico durante a sessão pública da Concorrência, ficando responsável pelo ônus decorrente da perda de negócios, diante da inobservância de quaisquer mensagens emitidas pelo sistema ou de sua desconexão.</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6.12.</w:t>
      </w:r>
      <w:r>
        <w:rPr>
          <w:rFonts w:eastAsia="Arial" w:cs="Arial" w:ascii="Arial" w:hAnsi="Arial"/>
          <w:color w:val="000000"/>
        </w:rPr>
        <w:t xml:space="preserve"> Até a abertura da sessão pública, os proponentes poderão retirar ou substituir a proposta anteriormente inseridos no sistema.</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ind w:hanging="185" w:left="416" w:right="250"/>
        <w:jc w:val="both"/>
        <w:rPr>
          <w:rFonts w:ascii="Arial" w:hAnsi="Arial" w:eastAsia="Arial" w:cs="Arial"/>
          <w:b/>
          <w:color w:val="000000"/>
        </w:rPr>
      </w:pPr>
      <w:r>
        <w:rPr>
          <w:rFonts w:eastAsia="Arial" w:cs="Arial" w:ascii="Arial" w:hAnsi="Arial"/>
          <w:b/>
          <w:color w:val="000000"/>
        </w:rPr>
        <w:t>- DA FORMA DE ENVIO DA PROPOSTA DE PREÇOS</w:t>
      </w:r>
    </w:p>
    <w:p>
      <w:pPr>
        <w:pStyle w:val="normal11"/>
        <w:numPr>
          <w:ilvl w:val="1"/>
          <w:numId w:val="23"/>
        </w:numPr>
        <w:pBdr/>
        <w:tabs>
          <w:tab w:val="clear" w:pos="720"/>
          <w:tab w:val="left" w:pos="5"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A proposta de preços deverá ser enviada exclusivamente via sistema, redigida em idioma nacional, sem cotações alternativas, emendas, rasuras ou entrelinhas, devendo ser datada e assinada </w:t>
      </w:r>
      <w:r>
        <w:rPr>
          <w:rFonts w:eastAsia="Arial" w:cs="Arial" w:ascii="Arial" w:hAnsi="Arial"/>
          <w:color w:val="000000"/>
          <w:u w:val="single"/>
        </w:rPr>
        <w:t>pelo representante lega</w:t>
      </w:r>
      <w:r>
        <w:rPr>
          <w:rFonts w:eastAsia="Arial" w:cs="Arial" w:ascii="Arial" w:hAnsi="Arial"/>
          <w:color w:val="000000"/>
        </w:rPr>
        <w:t xml:space="preserve">l </w:t>
      </w:r>
      <w:r>
        <w:rPr>
          <w:rFonts w:eastAsia="Arial" w:cs="Arial" w:ascii="Arial" w:hAnsi="Arial"/>
          <w:color w:val="000000"/>
          <w:u w:val="single"/>
        </w:rPr>
        <w:t>e pelo responsável técnico</w:t>
      </w:r>
      <w:r>
        <w:rPr>
          <w:rFonts w:eastAsia="Arial" w:cs="Arial" w:ascii="Arial" w:hAnsi="Arial"/>
          <w:color w:val="000000"/>
        </w:rPr>
        <w:t xml:space="preserve"> do proponente devidamente identificados, contendo identificação do proponente, endereço, telefone, e-mail e dados bancários (banco, agência e conta bancária).</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 xml:space="preserve">7.2. </w:t>
      </w:r>
      <w:r>
        <w:rPr>
          <w:rFonts w:eastAsia="Arial" w:cs="Arial" w:ascii="Arial" w:hAnsi="Arial"/>
          <w:color w:val="000000"/>
        </w:rPr>
        <w:t>Após a fase de lances, a proposta atualizada deverá ser enviada no prazo máximo de até 02 (dois) dias úteis após a convocação do Agente de Contratação.</w:t>
      </w:r>
    </w:p>
    <w:p>
      <w:pPr>
        <w:pStyle w:val="normal11"/>
        <w:numPr>
          <w:ilvl w:val="1"/>
          <w:numId w:val="18"/>
        </w:numPr>
        <w:pBdr/>
        <w:tabs>
          <w:tab w:val="clear" w:pos="720"/>
          <w:tab w:val="left" w:pos="647" w:leader="none"/>
        </w:tabs>
        <w:spacing w:lineRule="auto" w:line="360"/>
        <w:ind w:right="250"/>
        <w:jc w:val="both"/>
        <w:rPr>
          <w:rFonts w:ascii="Arial" w:hAnsi="Arial" w:eastAsia="Arial" w:cs="Arial"/>
          <w:color w:val="000000"/>
        </w:rPr>
      </w:pPr>
      <w:r>
        <w:rPr>
          <w:rFonts w:eastAsia="Arial" w:cs="Arial" w:ascii="Arial" w:hAnsi="Arial"/>
          <w:b/>
          <w:color w:val="000000"/>
        </w:rPr>
        <w:t xml:space="preserve">7.3. </w:t>
      </w:r>
      <w:r>
        <w:rPr>
          <w:rFonts w:eastAsia="Arial" w:cs="Arial" w:ascii="Arial" w:hAnsi="Arial"/>
          <w:color w:val="000000"/>
        </w:rPr>
        <w:t>Não serão aceitas propostas sem a assinatura do representante legal e do responsável técnico do proponente devidamente identificado.</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7.4.</w:t>
      </w:r>
      <w:r>
        <w:rPr>
          <w:rFonts w:eastAsia="Arial" w:cs="Arial" w:ascii="Arial" w:hAnsi="Arial"/>
          <w:color w:val="000000"/>
        </w:rPr>
        <w:t xml:space="preserve"> A proposta deverá ser apresentada de acordo com o Anexo I</w:t>
      </w:r>
      <w:r>
        <w:rPr>
          <w:rFonts w:eastAsia="Arial" w:cs="Arial" w:ascii="Arial" w:hAnsi="Arial"/>
          <w:b/>
          <w:color w:val="000000"/>
        </w:rPr>
        <w:t xml:space="preserve"> </w:t>
      </w:r>
      <w:r>
        <w:rPr>
          <w:rFonts w:eastAsia="Arial" w:cs="Arial" w:ascii="Arial" w:hAnsi="Arial"/>
          <w:color w:val="000000"/>
        </w:rPr>
        <w:t>deste Edital e deverá conter, sob pena de desclassificação:</w:t>
      </w:r>
    </w:p>
    <w:p>
      <w:pPr>
        <w:pStyle w:val="normal11"/>
        <w:numPr>
          <w:ilvl w:val="2"/>
          <w:numId w:val="18"/>
        </w:numPr>
        <w:pBdr/>
        <w:tabs>
          <w:tab w:val="clear" w:pos="720"/>
          <w:tab w:val="left" w:pos="817" w:leader="none"/>
        </w:tabs>
        <w:spacing w:lineRule="auto" w:line="360"/>
        <w:ind w:right="250"/>
        <w:jc w:val="both"/>
        <w:rPr>
          <w:rFonts w:ascii="Arial" w:hAnsi="Arial" w:eastAsia="Arial" w:cs="Arial"/>
          <w:color w:val="000000"/>
        </w:rPr>
      </w:pPr>
      <w:r>
        <w:rPr>
          <w:rFonts w:eastAsia="Arial" w:cs="Arial" w:ascii="Arial" w:hAnsi="Arial"/>
          <w:b/>
          <w:color w:val="000000"/>
        </w:rPr>
        <w:t>7.5.</w:t>
      </w:r>
      <w:r>
        <w:rPr>
          <w:rFonts w:eastAsia="Arial" w:cs="Arial" w:ascii="Arial" w:hAnsi="Arial"/>
          <w:color w:val="000000"/>
        </w:rPr>
        <w:t xml:space="preserve"> Os valores da proposta deverão ser apresentados com duas casas decimais após a vírgula, com a seguinte regra de arredondamento</w:t>
      </w:r>
      <w:r>
        <w:rPr>
          <w:rFonts w:eastAsia="Arial" w:cs="Arial" w:ascii="Arial" w:hAnsi="Arial"/>
          <w:b/>
          <w:color w:val="000000"/>
        </w:rPr>
        <w:t xml:space="preserve">: </w:t>
      </w:r>
      <w:r>
        <w:rPr>
          <w:rFonts w:eastAsia="Arial" w:cs="Arial" w:ascii="Arial" w:hAnsi="Arial"/>
          <w:color w:val="000000"/>
        </w:rPr>
        <w:t>se o terceiro dígito após a vírgula estiver entre 0 e 4, o segundo dígito após a vírgula não é alterado; se o terceiro dígito após a vírgula estiver entre 5 e 9, o segundo dígito após a vírgula é arredondado para cima.</w:t>
      </w:r>
    </w:p>
    <w:p>
      <w:pPr>
        <w:pStyle w:val="normal11"/>
        <w:numPr>
          <w:ilvl w:val="2"/>
          <w:numId w:val="18"/>
        </w:numPr>
        <w:pBdr/>
        <w:tabs>
          <w:tab w:val="clear" w:pos="720"/>
          <w:tab w:val="left" w:pos="822" w:leader="none"/>
        </w:tabs>
        <w:spacing w:lineRule="auto" w:line="360"/>
        <w:ind w:right="250"/>
        <w:jc w:val="both"/>
        <w:rPr>
          <w:rFonts w:ascii="Arial" w:hAnsi="Arial" w:eastAsia="Arial" w:cs="Arial"/>
          <w:color w:val="000000"/>
        </w:rPr>
      </w:pPr>
      <w:r>
        <w:rPr>
          <w:rFonts w:eastAsia="Arial" w:cs="Arial" w:ascii="Arial" w:hAnsi="Arial"/>
          <w:b/>
          <w:color w:val="000000"/>
        </w:rPr>
        <w:t>7.6.</w:t>
      </w:r>
      <w:r>
        <w:rPr>
          <w:rFonts w:eastAsia="Arial" w:cs="Arial" w:ascii="Arial" w:hAnsi="Arial"/>
          <w:color w:val="000000"/>
        </w:rPr>
        <w:t xml:space="preserve"> Validade por um prazo não inferior a 90 (noventa) dias corridos, contados da data fixada para o recebimento da proposta;</w:t>
      </w:r>
    </w:p>
    <w:p>
      <w:pPr>
        <w:pStyle w:val="normal11"/>
        <w:numPr>
          <w:ilvl w:val="2"/>
          <w:numId w:val="18"/>
        </w:numPr>
        <w:pBdr/>
        <w:tabs>
          <w:tab w:val="clear" w:pos="720"/>
          <w:tab w:val="left" w:pos="808" w:leader="none"/>
        </w:tabs>
        <w:spacing w:lineRule="auto" w:line="360"/>
        <w:ind w:right="250"/>
        <w:jc w:val="both"/>
        <w:rPr>
          <w:rFonts w:ascii="Arial" w:hAnsi="Arial" w:eastAsia="Arial" w:cs="Arial"/>
          <w:color w:val="000000"/>
        </w:rPr>
      </w:pPr>
      <w:r>
        <w:rPr>
          <w:rFonts w:eastAsia="Arial" w:cs="Arial" w:ascii="Arial" w:hAnsi="Arial"/>
          <w:b/>
          <w:color w:val="000000"/>
        </w:rPr>
        <w:t>7.7.</w:t>
      </w:r>
      <w:r>
        <w:rPr>
          <w:rFonts w:eastAsia="Arial" w:cs="Arial" w:ascii="Arial" w:hAnsi="Arial"/>
          <w:color w:val="000000"/>
        </w:rPr>
        <w:t xml:space="preserve"> Declaração do representante legal do proponente de que o preço proposto compreende todos os serviços, materiais e encargos necessários à completa realização do serviço e sua entrega rematada e completa em todos os pormenores mesmo que posteriormente sejam verificadas falhas ou omissões na proposta.</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color w:val="000000"/>
        </w:rPr>
        <w:t>- Deverá constar na proposta:</w:t>
      </w:r>
    </w:p>
    <w:p>
      <w:pPr>
        <w:pStyle w:val="normal11"/>
        <w:pBdr/>
        <w:tabs>
          <w:tab w:val="clear" w:pos="720"/>
          <w:tab w:val="left" w:pos="786" w:leader="none"/>
        </w:tabs>
        <w:spacing w:lineRule="auto" w:line="360"/>
        <w:ind w:right="250"/>
        <w:jc w:val="both"/>
        <w:rPr>
          <w:rFonts w:ascii="Arial" w:hAnsi="Arial" w:eastAsia="Arial" w:cs="Arial"/>
          <w:color w:val="000000"/>
        </w:rPr>
      </w:pPr>
      <w:r>
        <w:rPr>
          <w:rFonts w:eastAsia="Arial" w:cs="Arial" w:ascii="Arial" w:hAnsi="Arial"/>
          <w:color w:val="000000"/>
        </w:rPr>
        <w:t>- Planilha Orçamentária contendo:</w:t>
      </w:r>
    </w:p>
    <w:p>
      <w:pPr>
        <w:pStyle w:val="normal11"/>
        <w:numPr>
          <w:ilvl w:val="0"/>
          <w:numId w:val="14"/>
        </w:numPr>
        <w:pBdr/>
        <w:tabs>
          <w:tab w:val="clear" w:pos="720"/>
          <w:tab w:val="left" w:pos="516" w:leader="none"/>
        </w:tabs>
        <w:spacing w:lineRule="auto" w:line="360"/>
        <w:ind w:hanging="0" w:left="232" w:right="250"/>
        <w:jc w:val="both"/>
        <w:rPr>
          <w:rFonts w:ascii="Arial" w:hAnsi="Arial" w:eastAsia="Arial" w:cs="Arial"/>
          <w:color w:val="000000"/>
        </w:rPr>
      </w:pPr>
      <w:r>
        <w:rPr>
          <w:rFonts w:eastAsia="Arial" w:cs="Arial" w:ascii="Arial" w:hAnsi="Arial"/>
          <w:color w:val="000000"/>
        </w:rPr>
        <w:t>Orçamento detalhado: com indicação do respectivo custo unitário, percentual de BDI para o item, preço unitário (custo unitário acrescido do BDI) e o preço total do item.</w:t>
      </w:r>
    </w:p>
    <w:p>
      <w:pPr>
        <w:pStyle w:val="normal11"/>
        <w:numPr>
          <w:ilvl w:val="0"/>
          <w:numId w:val="14"/>
        </w:numPr>
        <w:pBdr/>
        <w:tabs>
          <w:tab w:val="clear" w:pos="720"/>
          <w:tab w:val="left" w:pos="572" w:leader="none"/>
        </w:tabs>
        <w:spacing w:lineRule="auto" w:line="360"/>
        <w:ind w:hanging="0" w:left="232" w:right="250"/>
        <w:jc w:val="both"/>
        <w:rPr>
          <w:rFonts w:ascii="Arial" w:hAnsi="Arial" w:eastAsia="Arial" w:cs="Arial"/>
          <w:color w:val="000000"/>
        </w:rPr>
      </w:pPr>
      <w:r>
        <w:rPr>
          <w:rFonts w:eastAsia="Arial" w:cs="Arial" w:ascii="Arial" w:hAnsi="Arial"/>
          <w:color w:val="000000"/>
        </w:rPr>
        <w:t xml:space="preserve">Composição de custos: devendo constar a composição de </w:t>
      </w:r>
      <w:r>
        <w:rPr>
          <w:rFonts w:eastAsia="Arial" w:cs="Arial" w:ascii="Arial" w:hAnsi="Arial"/>
          <w:b/>
          <w:color w:val="000000"/>
          <w:u w:val="single"/>
        </w:rPr>
        <w:t>todos</w:t>
      </w:r>
      <w:r>
        <w:rPr>
          <w:rFonts w:eastAsia="Arial" w:cs="Arial" w:ascii="Arial" w:hAnsi="Arial"/>
          <w:b/>
          <w:color w:val="000000"/>
        </w:rPr>
        <w:t xml:space="preserve"> </w:t>
      </w:r>
      <w:r>
        <w:rPr>
          <w:rFonts w:eastAsia="Arial" w:cs="Arial" w:ascii="Arial" w:hAnsi="Arial"/>
          <w:color w:val="000000"/>
        </w:rPr>
        <w:t xml:space="preserve">os custos unitários indicados no orçamento detalhado, calculados levando-se em conta </w:t>
      </w:r>
      <w:r>
        <w:rPr>
          <w:rFonts w:eastAsia="Arial" w:cs="Arial" w:ascii="Arial" w:hAnsi="Arial"/>
          <w:b/>
          <w:color w:val="000000"/>
          <w:u w:val="single"/>
        </w:rPr>
        <w:t>todos</w:t>
      </w:r>
      <w:r>
        <w:rPr>
          <w:rFonts w:eastAsia="Arial" w:cs="Arial" w:ascii="Arial" w:hAnsi="Arial"/>
          <w:b/>
          <w:color w:val="000000"/>
        </w:rPr>
        <w:t xml:space="preserve"> </w:t>
      </w:r>
      <w:r>
        <w:rPr>
          <w:rFonts w:eastAsia="Arial" w:cs="Arial" w:ascii="Arial" w:hAnsi="Arial"/>
          <w:color w:val="000000"/>
        </w:rPr>
        <w:t>os materiais, mão de obra e encargos necessários à sua execução.</w:t>
      </w:r>
    </w:p>
    <w:p>
      <w:pPr>
        <w:pStyle w:val="normal11"/>
        <w:numPr>
          <w:ilvl w:val="1"/>
          <w:numId w:val="14"/>
        </w:numPr>
        <w:pBdr/>
        <w:tabs>
          <w:tab w:val="clear" w:pos="720"/>
          <w:tab w:val="left" w:pos="1170" w:leader="none"/>
        </w:tabs>
        <w:spacing w:lineRule="auto" w:line="360"/>
        <w:ind w:hanging="447" w:right="250"/>
        <w:jc w:val="both"/>
        <w:rPr>
          <w:rFonts w:ascii="Arial" w:hAnsi="Arial" w:eastAsia="Arial" w:cs="Arial"/>
          <w:color w:val="000000"/>
        </w:rPr>
      </w:pPr>
      <w:r>
        <w:rPr>
          <w:rFonts w:eastAsia="Arial" w:cs="Arial" w:ascii="Arial" w:hAnsi="Arial"/>
          <w:color w:val="000000"/>
        </w:rPr>
        <w:t>Inclusive nos casos em que são utilizadas composições extraídas de tabelas de referência.</w:t>
      </w:r>
    </w:p>
    <w:p>
      <w:pPr>
        <w:pStyle w:val="normal11"/>
        <w:pBdr/>
        <w:tabs>
          <w:tab w:val="clear" w:pos="720"/>
          <w:tab w:val="left" w:pos="786" w:leader="none"/>
        </w:tabs>
        <w:spacing w:lineRule="auto" w:line="360"/>
        <w:ind w:right="250"/>
        <w:jc w:val="both"/>
        <w:rPr>
          <w:rFonts w:ascii="Arial" w:hAnsi="Arial" w:eastAsia="Arial" w:cs="Arial"/>
          <w:color w:val="000000"/>
        </w:rPr>
      </w:pPr>
      <w:r>
        <w:rPr>
          <w:rFonts w:eastAsia="Arial" w:cs="Arial" w:ascii="Arial" w:hAnsi="Arial"/>
          <w:color w:val="000000"/>
        </w:rPr>
        <w:t>- Cronograma físico-financeiro, limitado a</w:t>
      </w:r>
      <w:r>
        <w:rPr>
          <w:rFonts w:eastAsia="Arial" w:cs="Arial" w:ascii="Arial" w:hAnsi="Arial"/>
          <w:b/>
        </w:rPr>
        <w:t xml:space="preserve"> 360 (trezentos e sessenta) dias.</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7.8.</w:t>
      </w:r>
      <w:r>
        <w:rPr>
          <w:rFonts w:eastAsia="Arial" w:cs="Arial" w:ascii="Arial" w:hAnsi="Arial"/>
          <w:color w:val="000000"/>
        </w:rPr>
        <w:t xml:space="preserve"> O valor total de cada item indicado no orçamento detalhado deverá ser o produto da multiplicação do preço unitário pela respectiva quantidade.</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 xml:space="preserve">7.9. </w:t>
      </w:r>
      <w:r>
        <w:rPr>
          <w:rFonts w:eastAsia="Arial" w:cs="Arial" w:ascii="Arial" w:hAnsi="Arial"/>
          <w:color w:val="000000"/>
        </w:rPr>
        <w:t>É obrigatória a indicação do preço unitário (custo unitário + BDI).</w:t>
      </w:r>
    </w:p>
    <w:p>
      <w:pPr>
        <w:pStyle w:val="normal11"/>
        <w:numPr>
          <w:ilvl w:val="1"/>
          <w:numId w:val="26"/>
        </w:numPr>
        <w:pBdr/>
        <w:tabs>
          <w:tab w:val="clear" w:pos="720"/>
          <w:tab w:val="left" w:pos="663" w:leader="none"/>
        </w:tabs>
        <w:spacing w:lineRule="auto" w:line="360"/>
        <w:ind w:right="250"/>
        <w:jc w:val="both"/>
        <w:rPr>
          <w:rFonts w:ascii="Arial" w:hAnsi="Arial" w:eastAsia="Arial" w:cs="Arial"/>
          <w:color w:val="000000"/>
        </w:rPr>
      </w:pPr>
      <w:r>
        <w:rPr>
          <w:rFonts w:eastAsia="Arial" w:cs="Arial" w:ascii="Arial" w:hAnsi="Arial"/>
          <w:b/>
          <w:color w:val="000000"/>
        </w:rPr>
        <w:t xml:space="preserve">7.10. </w:t>
      </w:r>
      <w:r>
        <w:rPr>
          <w:rFonts w:eastAsia="Arial" w:cs="Arial" w:ascii="Arial" w:hAnsi="Arial"/>
          <w:color w:val="000000"/>
        </w:rPr>
        <w:t>Serão desconsideradas as propostas que apresentarem alternativas de preços ou qualquer outra condição não prevista neste Edital.</w:t>
      </w:r>
    </w:p>
    <w:p>
      <w:pPr>
        <w:pStyle w:val="normal11"/>
        <w:numPr>
          <w:ilvl w:val="1"/>
          <w:numId w:val="26"/>
        </w:numPr>
        <w:pBdr/>
        <w:tabs>
          <w:tab w:val="clear" w:pos="720"/>
          <w:tab w:val="left" w:pos="617" w:leader="none"/>
        </w:tabs>
        <w:spacing w:lineRule="auto" w:line="360"/>
        <w:ind w:right="250"/>
        <w:jc w:val="both"/>
        <w:rPr>
          <w:rFonts w:ascii="Arial" w:hAnsi="Arial" w:eastAsia="Arial" w:cs="Arial"/>
          <w:color w:val="000000"/>
        </w:rPr>
      </w:pPr>
      <w:r>
        <w:rPr>
          <w:rFonts w:eastAsia="Arial" w:cs="Arial" w:ascii="Arial" w:hAnsi="Arial"/>
          <w:b/>
          <w:color w:val="000000"/>
        </w:rPr>
        <w:t xml:space="preserve">7.11. </w:t>
      </w:r>
      <w:r>
        <w:rPr>
          <w:rFonts w:eastAsia="Arial" w:cs="Arial" w:ascii="Arial" w:hAnsi="Arial"/>
          <w:color w:val="000000"/>
        </w:rPr>
        <w:t>Se a adjudicação não puder ocorrer dentro do período de validade da proposta, ou seja, 90 (noventa) dias, e caso persista o interesse do Município, este poderá solicitar a prorrogação da validade da proposta por igual prazo.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ind w:hanging="185" w:left="416" w:right="250"/>
        <w:jc w:val="both"/>
        <w:rPr>
          <w:rFonts w:ascii="Arial" w:hAnsi="Arial" w:eastAsia="Arial" w:cs="Arial"/>
          <w:b/>
          <w:color w:val="000000"/>
        </w:rPr>
      </w:pPr>
      <w:r>
        <w:rPr>
          <w:rFonts w:eastAsia="Arial" w:cs="Arial" w:ascii="Arial" w:hAnsi="Arial"/>
          <w:b/>
          <w:color w:val="000000"/>
        </w:rPr>
        <w:t>- DA ABERTURA DA SESSÃO ELETRÔNICA E DA FORMULAÇÃO DE LANCES</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 xml:space="preserve">8.1. </w:t>
      </w:r>
      <w:r>
        <w:rPr>
          <w:rFonts w:eastAsia="Arial" w:cs="Arial" w:ascii="Arial" w:hAnsi="Arial"/>
          <w:color w:val="000000"/>
        </w:rPr>
        <w:t>O modo de disputa se dará na forma prevista no subitem 1.7 do edital.</w:t>
      </w:r>
    </w:p>
    <w:p>
      <w:pPr>
        <w:pStyle w:val="normal11"/>
        <w:numPr>
          <w:ilvl w:val="1"/>
          <w:numId w:val="18"/>
        </w:numPr>
        <w:pBdr/>
        <w:tabs>
          <w:tab w:val="clear" w:pos="720"/>
          <w:tab w:val="left" w:pos="614" w:leader="none"/>
        </w:tabs>
        <w:spacing w:lineRule="auto" w:line="360"/>
        <w:ind w:right="250"/>
        <w:jc w:val="both"/>
        <w:rPr>
          <w:rFonts w:ascii="Arial" w:hAnsi="Arial" w:eastAsia="Arial" w:cs="Arial"/>
          <w:color w:val="000000"/>
        </w:rPr>
      </w:pPr>
      <w:r>
        <w:rPr>
          <w:rFonts w:eastAsia="Arial" w:cs="Arial" w:ascii="Arial" w:hAnsi="Arial"/>
          <w:b/>
          <w:color w:val="000000"/>
        </w:rPr>
        <w:t>8.2.</w:t>
      </w:r>
      <w:r>
        <w:rPr>
          <w:rFonts w:eastAsia="Arial" w:cs="Arial" w:ascii="Arial" w:hAnsi="Arial"/>
          <w:color w:val="000000"/>
        </w:rPr>
        <w:t xml:space="preserve"> A partir do horário previsto no sistema, terá início a sessão pública da Concorrência, com a divulgação das propostas de preços recebidas pelo </w:t>
      </w:r>
      <w:r>
        <w:rPr>
          <w:rFonts w:eastAsia="Arial" w:cs="Arial" w:ascii="Arial" w:hAnsi="Arial"/>
          <w:i/>
          <w:color w:val="000000"/>
        </w:rPr>
        <w:t xml:space="preserve">site </w:t>
      </w:r>
      <w:r>
        <w:rPr>
          <w:rFonts w:eastAsia="Arial" w:cs="Arial" w:ascii="Arial" w:hAnsi="Arial"/>
          <w:color w:val="000000"/>
        </w:rPr>
        <w:t>já indicado no item 1 deste Edital, passando o Agente de Contratação a avaliar a aceitabilidade das propostas.</w:t>
      </w:r>
    </w:p>
    <w:p>
      <w:pPr>
        <w:pStyle w:val="normal11"/>
        <w:numPr>
          <w:ilvl w:val="1"/>
          <w:numId w:val="18"/>
        </w:numPr>
        <w:pBdr/>
        <w:tabs>
          <w:tab w:val="clear" w:pos="720"/>
          <w:tab w:val="left" w:pos="631" w:leader="none"/>
        </w:tabs>
        <w:spacing w:lineRule="auto" w:line="360"/>
        <w:ind w:right="250"/>
        <w:jc w:val="both"/>
        <w:rPr>
          <w:rFonts w:ascii="Arial" w:hAnsi="Arial" w:eastAsia="Arial" w:cs="Arial"/>
          <w:color w:val="000000"/>
        </w:rPr>
      </w:pPr>
      <w:r>
        <w:rPr>
          <w:rFonts w:eastAsia="Arial" w:cs="Arial" w:ascii="Arial" w:hAnsi="Arial"/>
          <w:b/>
          <w:color w:val="000000"/>
        </w:rPr>
        <w:t>8.3.</w:t>
      </w:r>
      <w:r>
        <w:rPr>
          <w:rFonts w:eastAsia="Arial" w:cs="Arial" w:ascii="Arial" w:hAnsi="Arial"/>
          <w:color w:val="000000"/>
        </w:rPr>
        <w:t xml:space="preserve"> Aberta a etapa competitiva, os representantes dos proponentes deverão estar conectados ao sistema para participar da sessão de lances, que ocorrerá exclusivamente por meio do sistema eletrônico. A cada lance ofertado o participante será imediatamente informado de seu recebimento e respectivo horário de registro e valor.</w:t>
      </w:r>
    </w:p>
    <w:p>
      <w:pPr>
        <w:pStyle w:val="normal11"/>
        <w:pBdr/>
        <w:tabs>
          <w:tab w:val="clear" w:pos="720"/>
          <w:tab w:val="left" w:pos="786" w:leader="none"/>
        </w:tabs>
        <w:spacing w:lineRule="auto" w:line="360"/>
        <w:ind w:right="250"/>
        <w:jc w:val="both"/>
        <w:rPr>
          <w:rFonts w:ascii="Arial" w:hAnsi="Arial" w:eastAsia="Arial" w:cs="Arial"/>
          <w:color w:val="000000"/>
        </w:rPr>
      </w:pPr>
      <w:r>
        <w:rPr>
          <w:rFonts w:eastAsia="Arial" w:cs="Arial" w:ascii="Arial" w:hAnsi="Arial"/>
          <w:b/>
          <w:color w:val="000000"/>
        </w:rPr>
        <w:t>8.4.</w:t>
      </w:r>
      <w:r>
        <w:rPr>
          <w:rFonts w:eastAsia="Arial" w:cs="Arial" w:ascii="Arial" w:hAnsi="Arial"/>
          <w:color w:val="000000"/>
        </w:rPr>
        <w:t xml:space="preserve"> O intervalo mínimo de diferença de valores entre os lances é de </w:t>
      </w:r>
      <w:r>
        <w:rPr>
          <w:rFonts w:eastAsia="Arial" w:cs="Arial" w:ascii="Arial" w:hAnsi="Arial"/>
          <w:color w:val="000000"/>
          <w:u w:val="single"/>
        </w:rPr>
        <w:t>R$ 0,0</w:t>
      </w:r>
      <w:r>
        <w:rPr>
          <w:rFonts w:eastAsia="Arial" w:cs="Arial" w:ascii="Arial" w:hAnsi="Arial"/>
          <w:u w:val="single"/>
        </w:rPr>
        <w:t>1</w:t>
      </w:r>
      <w:r>
        <w:rPr>
          <w:rFonts w:eastAsia="Arial" w:cs="Arial" w:ascii="Arial" w:hAnsi="Arial"/>
          <w:color w:val="000000"/>
          <w:u w:val="single"/>
        </w:rPr>
        <w:t xml:space="preserve"> (um centavo de real)</w:t>
      </w:r>
      <w:r>
        <w:rPr>
          <w:rFonts w:eastAsia="Arial" w:cs="Arial" w:ascii="Arial" w:hAnsi="Arial"/>
          <w:color w:val="000000"/>
        </w:rPr>
        <w:t>.</w:t>
      </w:r>
    </w:p>
    <w:p>
      <w:pPr>
        <w:pStyle w:val="normal11"/>
        <w:numPr>
          <w:ilvl w:val="1"/>
          <w:numId w:val="18"/>
        </w:numPr>
        <w:pBdr/>
        <w:tabs>
          <w:tab w:val="clear" w:pos="720"/>
          <w:tab w:val="left" w:pos="616" w:leader="none"/>
        </w:tabs>
        <w:spacing w:lineRule="auto" w:line="360"/>
        <w:ind w:right="250"/>
        <w:jc w:val="both"/>
        <w:rPr>
          <w:rFonts w:ascii="Arial" w:hAnsi="Arial" w:eastAsia="Arial" w:cs="Arial"/>
          <w:color w:val="000000"/>
        </w:rPr>
      </w:pPr>
      <w:r>
        <w:rPr>
          <w:rFonts w:eastAsia="Arial" w:cs="Arial" w:ascii="Arial" w:hAnsi="Arial"/>
          <w:b/>
          <w:color w:val="000000"/>
        </w:rPr>
        <w:t>8.5.</w:t>
      </w:r>
      <w:r>
        <w:rPr>
          <w:rFonts w:eastAsia="Arial" w:cs="Arial" w:ascii="Arial" w:hAnsi="Arial"/>
          <w:color w:val="000000"/>
        </w:rPr>
        <w:t xml:space="preserve"> Durante o transcurso da sessão pública, os participantes serão informados, em tempo real, do valor do menor lance registrado. O sistema não divulgará o autor dos lances aos demais participantes.</w:t>
      </w:r>
    </w:p>
    <w:p>
      <w:pPr>
        <w:pStyle w:val="normal11"/>
        <w:numPr>
          <w:ilvl w:val="1"/>
          <w:numId w:val="18"/>
        </w:numPr>
        <w:pBdr/>
        <w:tabs>
          <w:tab w:val="clear" w:pos="720"/>
          <w:tab w:val="left" w:pos="639" w:leader="none"/>
        </w:tabs>
        <w:spacing w:lineRule="auto" w:line="360"/>
        <w:ind w:right="250"/>
        <w:jc w:val="both"/>
        <w:rPr>
          <w:rFonts w:ascii="Arial" w:hAnsi="Arial" w:eastAsia="Arial" w:cs="Arial"/>
          <w:color w:val="000000"/>
        </w:rPr>
      </w:pPr>
      <w:r>
        <w:rPr>
          <w:rFonts w:eastAsia="Arial" w:cs="Arial" w:ascii="Arial" w:hAnsi="Arial"/>
          <w:b/>
          <w:color w:val="000000"/>
        </w:rPr>
        <w:t>8.6.</w:t>
      </w:r>
      <w:r>
        <w:rPr>
          <w:rFonts w:eastAsia="Arial" w:cs="Arial" w:ascii="Arial" w:hAnsi="Arial"/>
          <w:color w:val="000000"/>
        </w:rPr>
        <w:t xml:space="preserve"> Após o encerramento da etapa de lances, o sistema identificará a existência da situação de empate prevista no art. 44 da Lei Complementar nº 123/06. Nesse caso, o Agente de Contratação convocará a Microempresa ou Empresa de Pequeno Porte que se encontra em situação de empate informando que a mesma deverá, em 5 minutos, ofertar novo lance, inferior ao menor lance registrado. Durante o período, apenas a empresa convocada poderá registrar o novo lance como arrematante.</w:t>
      </w:r>
    </w:p>
    <w:p>
      <w:pPr>
        <w:pStyle w:val="normal11"/>
        <w:numPr>
          <w:ilvl w:val="2"/>
          <w:numId w:val="18"/>
        </w:numPr>
        <w:pBdr/>
        <w:tabs>
          <w:tab w:val="clear" w:pos="720"/>
          <w:tab w:val="left" w:pos="801" w:leader="none"/>
        </w:tabs>
        <w:spacing w:lineRule="auto" w:line="360"/>
        <w:ind w:right="250"/>
        <w:jc w:val="both"/>
        <w:rPr>
          <w:rFonts w:ascii="Arial" w:hAnsi="Arial" w:eastAsia="Arial" w:cs="Arial"/>
          <w:color w:val="000000"/>
        </w:rPr>
      </w:pPr>
      <w:r>
        <w:rPr>
          <w:rFonts w:eastAsia="Arial" w:cs="Arial" w:ascii="Arial" w:hAnsi="Arial"/>
          <w:b/>
          <w:color w:val="000000"/>
        </w:rPr>
        <w:t>8.7.</w:t>
      </w:r>
      <w:r>
        <w:rPr>
          <w:rFonts w:eastAsia="Arial" w:cs="Arial" w:ascii="Arial" w:hAnsi="Arial"/>
          <w:color w:val="000000"/>
        </w:rPr>
        <w:t xml:space="preserve"> Não passando para a condição de arrematante a Microempresa ou Empresa de Pequeno Porte mais bem classificada, na forma do item anterior, serão convocadas as remanescentes que porventura se enquadrem nessas categorias e cujas propostas estejam dentro do limite estabelecido no art. 44 da Lei Complementar nº 123/06, na ordem classificatória, para o exercício do mesmo direito.</w:t>
      </w:r>
    </w:p>
    <w:p>
      <w:pPr>
        <w:pStyle w:val="normal11"/>
        <w:numPr>
          <w:ilvl w:val="2"/>
          <w:numId w:val="18"/>
        </w:numPr>
        <w:pBdr/>
        <w:tabs>
          <w:tab w:val="clear" w:pos="720"/>
          <w:tab w:val="left" w:pos="804" w:leader="none"/>
        </w:tabs>
        <w:spacing w:lineRule="auto" w:line="360"/>
        <w:ind w:right="250"/>
        <w:jc w:val="both"/>
        <w:rPr>
          <w:rFonts w:ascii="Arial" w:hAnsi="Arial" w:eastAsia="Arial" w:cs="Arial"/>
          <w:color w:val="000000"/>
        </w:rPr>
      </w:pPr>
      <w:r>
        <w:rPr>
          <w:rFonts w:eastAsia="Arial" w:cs="Arial" w:ascii="Arial" w:hAnsi="Arial"/>
          <w:b/>
          <w:color w:val="000000"/>
        </w:rPr>
        <w:t>8.8.</w:t>
      </w:r>
      <w:r>
        <w:rPr>
          <w:rFonts w:eastAsia="Arial" w:cs="Arial" w:ascii="Arial" w:hAnsi="Arial"/>
          <w:color w:val="000000"/>
        </w:rPr>
        <w:t xml:space="preserve"> Entende-se por empate aquelas situações em que as propostas apresentadas pelas Microempresas e Empresas de Pequeno Porte sejam iguais ou até 10% (dez por cento) superiores à proposta mais bem classificada.</w:t>
      </w:r>
    </w:p>
    <w:p>
      <w:pPr>
        <w:pStyle w:val="normal11"/>
        <w:numPr>
          <w:ilvl w:val="2"/>
          <w:numId w:val="18"/>
        </w:numPr>
        <w:pBdr/>
        <w:tabs>
          <w:tab w:val="clear" w:pos="720"/>
          <w:tab w:val="left" w:pos="852" w:leader="none"/>
        </w:tabs>
        <w:spacing w:lineRule="auto" w:line="360"/>
        <w:ind w:right="250"/>
        <w:jc w:val="both"/>
        <w:rPr>
          <w:rFonts w:ascii="Arial" w:hAnsi="Arial" w:eastAsia="Arial" w:cs="Arial"/>
          <w:color w:val="000000"/>
        </w:rPr>
      </w:pPr>
      <w:r>
        <w:rPr>
          <w:rFonts w:eastAsia="Arial" w:cs="Arial" w:ascii="Arial" w:hAnsi="Arial"/>
          <w:b/>
          <w:color w:val="000000"/>
        </w:rPr>
        <w:t>8.9.</w:t>
      </w:r>
      <w:r>
        <w:rPr>
          <w:rFonts w:eastAsia="Arial" w:cs="Arial" w:ascii="Arial" w:hAnsi="Arial"/>
          <w:color w:val="000000"/>
        </w:rPr>
        <w:t xml:space="preserve"> O disposto no subitem 8.6 somente se aplicará quando a melhor oferta inicial não tiver sido apresentada por Microempresa ou Empresa de Pequeno Porte.</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417" w:leader="none"/>
        </w:tabs>
        <w:spacing w:lineRule="auto" w:line="360"/>
        <w:ind w:hanging="185" w:left="416" w:right="250"/>
        <w:jc w:val="both"/>
        <w:rPr>
          <w:rFonts w:ascii="Arial" w:hAnsi="Arial" w:eastAsia="Arial" w:cs="Arial"/>
          <w:b/>
          <w:color w:val="000000"/>
        </w:rPr>
      </w:pPr>
      <w:r>
        <w:rPr>
          <w:rFonts w:eastAsia="Arial" w:cs="Arial" w:ascii="Arial" w:hAnsi="Arial"/>
          <w:b/>
          <w:color w:val="000000"/>
        </w:rPr>
        <w:t>- DOS DOCUMENTOS DE HABILITAÇÃO</w:t>
      </w:r>
    </w:p>
    <w:p>
      <w:pPr>
        <w:pStyle w:val="normal11"/>
        <w:numPr>
          <w:ilvl w:val="1"/>
          <w:numId w:val="18"/>
        </w:numPr>
        <w:pBdr/>
        <w:tabs>
          <w:tab w:val="clear" w:pos="720"/>
          <w:tab w:val="left" w:pos="667" w:leader="none"/>
        </w:tabs>
        <w:spacing w:lineRule="auto" w:line="360"/>
        <w:ind w:right="250"/>
        <w:jc w:val="both"/>
        <w:rPr>
          <w:rFonts w:ascii="Arial" w:hAnsi="Arial" w:eastAsia="Arial" w:cs="Arial"/>
          <w:b/>
          <w:color w:val="000000"/>
        </w:rPr>
      </w:pPr>
      <w:r>
        <w:rPr>
          <w:rFonts w:eastAsia="Arial" w:cs="Arial" w:ascii="Arial" w:hAnsi="Arial"/>
          <w:b/>
          <w:color w:val="000000"/>
        </w:rPr>
        <w:t>9.1.</w:t>
      </w:r>
      <w:r>
        <w:rPr>
          <w:rFonts w:eastAsia="Arial" w:cs="Arial" w:ascii="Arial" w:hAnsi="Arial"/>
          <w:color w:val="000000"/>
        </w:rPr>
        <w:t xml:space="preserve"> Os documentos de habilitação deverão ser enviados exclusivamente via sistema eletrônico, após convocação do Agente de Contratação, no prazo estabelecido pelo item 7.2 do Edital, de forma legível, no sentido de que ofereçam condições de análise</w:t>
      </w:r>
      <w:r>
        <w:rPr>
          <w:rFonts w:eastAsia="Arial" w:cs="Arial" w:ascii="Arial" w:hAnsi="Arial"/>
          <w:b/>
          <w:color w:val="000000"/>
        </w:rPr>
        <w:t>.</w:t>
      </w:r>
    </w:p>
    <w:p>
      <w:pPr>
        <w:pStyle w:val="normal11"/>
        <w:numPr>
          <w:ilvl w:val="1"/>
          <w:numId w:val="18"/>
        </w:numPr>
        <w:pBdr/>
        <w:tabs>
          <w:tab w:val="clear" w:pos="720"/>
          <w:tab w:val="left" w:pos="653" w:leader="none"/>
        </w:tabs>
        <w:spacing w:lineRule="auto" w:line="360"/>
        <w:ind w:right="250"/>
        <w:jc w:val="both"/>
        <w:rPr>
          <w:rFonts w:ascii="Arial" w:hAnsi="Arial" w:eastAsia="Arial" w:cs="Arial"/>
          <w:color w:val="000000"/>
        </w:rPr>
      </w:pPr>
      <w:r>
        <w:rPr>
          <w:rFonts w:eastAsia="Arial" w:cs="Arial" w:ascii="Arial" w:hAnsi="Arial"/>
          <w:b/>
          <w:color w:val="000000"/>
        </w:rPr>
        <w:t>9.2.</w:t>
      </w:r>
      <w:r>
        <w:rPr>
          <w:rFonts w:eastAsia="Arial" w:cs="Arial" w:ascii="Arial" w:hAnsi="Arial"/>
          <w:color w:val="000000"/>
        </w:rPr>
        <w:t xml:space="preserve"> Serão aceitos comprovantes obtidos na rede internet, desde que os mesmos tenham sua validade confirmada pelo Agente de Contratação, na fase de habilitação.</w:t>
      </w:r>
    </w:p>
    <w:p>
      <w:pPr>
        <w:pStyle w:val="normal11"/>
        <w:numPr>
          <w:ilvl w:val="1"/>
          <w:numId w:val="18"/>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 xml:space="preserve">9.3. </w:t>
      </w:r>
      <w:r>
        <w:rPr>
          <w:rFonts w:eastAsia="Arial" w:cs="Arial" w:ascii="Arial" w:hAnsi="Arial"/>
          <w:color w:val="000000"/>
        </w:rPr>
        <w:t>Deverão ser apresentadas Certidões Negativas ou Positivas com efeito de negativa;</w:t>
      </w:r>
    </w:p>
    <w:p>
      <w:pPr>
        <w:pStyle w:val="normal11"/>
        <w:numPr>
          <w:ilvl w:val="1"/>
          <w:numId w:val="18"/>
        </w:numPr>
        <w:pBdr/>
        <w:tabs>
          <w:tab w:val="clear" w:pos="720"/>
          <w:tab w:val="left" w:pos="632" w:leader="none"/>
        </w:tabs>
        <w:spacing w:lineRule="auto" w:line="360"/>
        <w:ind w:right="250"/>
        <w:jc w:val="both"/>
        <w:rPr>
          <w:rFonts w:ascii="Arial" w:hAnsi="Arial" w:eastAsia="Arial" w:cs="Arial"/>
          <w:color w:val="000000"/>
        </w:rPr>
      </w:pPr>
      <w:r>
        <w:rPr>
          <w:rFonts w:eastAsia="Arial" w:cs="Arial" w:ascii="Arial" w:hAnsi="Arial"/>
          <w:b/>
          <w:color w:val="000000"/>
        </w:rPr>
        <w:t xml:space="preserve">9.4. </w:t>
      </w:r>
      <w:r>
        <w:rPr>
          <w:rFonts w:eastAsia="Arial" w:cs="Arial" w:ascii="Arial" w:hAnsi="Arial"/>
          <w:color w:val="000000"/>
        </w:rPr>
        <w:t>Para fins de aplicação dos procedimentos definidos na Lei Complementar nº 123/06, o proponente deverá comprovar a condição de Microempresa ou Empresa de Pequeno Porte, através de declaração em campo próprio do sistema, no momento do cadastro da proposta, nos termos do subitem 4.2 deste edital.</w:t>
      </w:r>
    </w:p>
    <w:p>
      <w:pPr>
        <w:pStyle w:val="normal11"/>
        <w:numPr>
          <w:ilvl w:val="1"/>
          <w:numId w:val="18"/>
        </w:numPr>
        <w:pBdr/>
        <w:tabs>
          <w:tab w:val="clear" w:pos="720"/>
          <w:tab w:val="left" w:pos="632" w:leader="none"/>
        </w:tabs>
        <w:spacing w:lineRule="auto" w:line="360"/>
        <w:ind w:right="250"/>
        <w:jc w:val="both"/>
        <w:rPr>
          <w:rFonts w:ascii="Arial" w:hAnsi="Arial" w:eastAsia="Arial" w:cs="Arial"/>
          <w:color w:val="000000"/>
        </w:rPr>
      </w:pPr>
      <w:r>
        <w:rPr>
          <w:rFonts w:eastAsia="Arial" w:cs="Arial" w:ascii="Arial" w:hAnsi="Arial"/>
          <w:b/>
          <w:color w:val="000000"/>
        </w:rPr>
        <w:t>9.5.</w:t>
      </w:r>
      <w:r>
        <w:rPr>
          <w:rFonts w:eastAsia="Arial" w:cs="Arial" w:ascii="Arial" w:hAnsi="Arial"/>
          <w:color w:val="000000"/>
        </w:rPr>
        <w:t xml:space="preserve"> Caso atendidas as condições de participação, a habilitação do proponente poderá ser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pPr>
        <w:pStyle w:val="normal11"/>
        <w:numPr>
          <w:ilvl w:val="1"/>
          <w:numId w:val="18"/>
        </w:numPr>
        <w:pBdr/>
        <w:tabs>
          <w:tab w:val="clear" w:pos="720"/>
          <w:tab w:val="left" w:pos="601" w:leader="none"/>
        </w:tabs>
        <w:spacing w:lineRule="auto" w:line="360"/>
        <w:ind w:right="250"/>
        <w:jc w:val="both"/>
        <w:rPr>
          <w:rFonts w:ascii="Arial" w:hAnsi="Arial" w:eastAsia="Arial" w:cs="Arial"/>
          <w:b/>
          <w:color w:val="000000"/>
        </w:rPr>
      </w:pPr>
      <w:r>
        <w:rPr>
          <w:rFonts w:eastAsia="Arial" w:cs="Arial" w:ascii="Arial" w:hAnsi="Arial"/>
          <w:b/>
          <w:color w:val="000000"/>
        </w:rPr>
      </w:r>
    </w:p>
    <w:p>
      <w:pPr>
        <w:pStyle w:val="normal11"/>
        <w:numPr>
          <w:ilvl w:val="1"/>
          <w:numId w:val="18"/>
        </w:numPr>
        <w:pBdr/>
        <w:tabs>
          <w:tab w:val="clear" w:pos="720"/>
          <w:tab w:val="left" w:pos="601" w:leader="none"/>
        </w:tabs>
        <w:spacing w:lineRule="auto" w:line="360"/>
        <w:ind w:right="250"/>
        <w:jc w:val="both"/>
        <w:rPr>
          <w:rFonts w:ascii="Arial" w:hAnsi="Arial" w:eastAsia="Arial" w:cs="Arial"/>
          <w:b/>
          <w:color w:val="000000"/>
        </w:rPr>
      </w:pPr>
      <w:r>
        <w:rPr>
          <w:rFonts w:eastAsia="Arial" w:cs="Arial" w:ascii="Arial" w:hAnsi="Arial"/>
          <w:b/>
          <w:color w:val="000000"/>
        </w:rPr>
        <w:t xml:space="preserve">- </w:t>
      </w:r>
      <w:r>
        <w:rPr>
          <w:rFonts w:eastAsia="Arial" w:cs="Arial" w:ascii="Arial" w:hAnsi="Arial"/>
          <w:b/>
          <w:color w:val="000000"/>
          <w:u w:val="single"/>
        </w:rPr>
        <w:t>A documentação para fins de habilitação é constituída de</w:t>
      </w:r>
      <w:r>
        <w:rPr>
          <w:rFonts w:eastAsia="Arial" w:cs="Arial" w:ascii="Arial" w:hAnsi="Arial"/>
          <w:b/>
          <w:color w:val="000000"/>
        </w:rPr>
        <w:t>:</w:t>
      </w:r>
    </w:p>
    <w:p>
      <w:pPr>
        <w:pStyle w:val="normal11"/>
        <w:numPr>
          <w:ilvl w:val="0"/>
          <w:numId w:val="17"/>
        </w:numPr>
        <w:tabs>
          <w:tab w:val="clear" w:pos="720"/>
          <w:tab w:val="left" w:pos="519" w:leader="none"/>
          <w:tab w:val="left" w:pos="851" w:leader="none"/>
        </w:tabs>
        <w:spacing w:lineRule="auto" w:line="360"/>
        <w:ind w:hanging="0" w:left="0" w:right="250"/>
        <w:jc w:val="both"/>
        <w:rPr/>
      </w:pPr>
      <w:r>
        <w:rPr>
          <w:rFonts w:eastAsia="Arial" w:cs="Arial" w:ascii="Arial" w:hAnsi="Arial"/>
        </w:rPr>
        <w:t>atos constitutivos estatuto ou contrato social em vigor, devidamente registrados, ou o registro público de empresário individual e, no caso de sociedades por ações, acompanhado de documento de eleição de seus administradores, bem como das alterações, caso existam, e, no caso de sociedades simples, acompanhados de prova de diretoria em exercício;</w:t>
      </w:r>
    </w:p>
    <w:p>
      <w:pPr>
        <w:pStyle w:val="normal11"/>
        <w:numPr>
          <w:ilvl w:val="0"/>
          <w:numId w:val="17"/>
        </w:numPr>
        <w:tabs>
          <w:tab w:val="clear" w:pos="720"/>
          <w:tab w:val="left" w:pos="494" w:leader="none"/>
          <w:tab w:val="left" w:pos="851" w:leader="none"/>
        </w:tabs>
        <w:spacing w:lineRule="auto" w:line="360"/>
        <w:ind w:hanging="0" w:left="0" w:right="250"/>
        <w:jc w:val="both"/>
        <w:rPr/>
      </w:pPr>
      <w:r>
        <w:rPr>
          <w:rFonts w:eastAsia="Arial" w:cs="Arial" w:ascii="Arial" w:hAnsi="Arial"/>
        </w:rPr>
        <w:t>prova de inscrição no Cadastro Nacional de Pessoa Jurídica (CNPJ);</w:t>
      </w:r>
    </w:p>
    <w:p>
      <w:pPr>
        <w:pStyle w:val="normal11"/>
        <w:numPr>
          <w:ilvl w:val="0"/>
          <w:numId w:val="17"/>
        </w:numPr>
        <w:tabs>
          <w:tab w:val="clear" w:pos="720"/>
          <w:tab w:val="left" w:pos="531" w:leader="none"/>
          <w:tab w:val="left" w:pos="851" w:leader="none"/>
        </w:tabs>
        <w:spacing w:lineRule="auto" w:line="360"/>
        <w:ind w:hanging="0" w:left="0" w:right="250"/>
        <w:jc w:val="both"/>
        <w:rPr/>
      </w:pPr>
      <w:r>
        <w:rPr>
          <w:rFonts w:eastAsia="Arial" w:cs="Arial" w:ascii="Arial" w:hAnsi="Arial"/>
        </w:rPr>
        <w:t>prova de Cadastro de Contribuintes do ICMS (Fazenda Estadual), relativo ao domicílio ou sede do proponente, pertinente ao seu ramo de atividade e compatível com o objeto da licitação, ou declaração de que não recolhe tributos estaduais, sendo, portanto isenta da Inscrição Estadual;</w:t>
      </w:r>
    </w:p>
    <w:p>
      <w:pPr>
        <w:pStyle w:val="normal11"/>
        <w:numPr>
          <w:ilvl w:val="0"/>
          <w:numId w:val="17"/>
        </w:numPr>
        <w:tabs>
          <w:tab w:val="clear" w:pos="720"/>
          <w:tab w:val="left" w:pos="531" w:leader="none"/>
          <w:tab w:val="left" w:pos="851" w:leader="none"/>
        </w:tabs>
        <w:spacing w:lineRule="auto" w:line="360"/>
        <w:ind w:hanging="0" w:left="0" w:right="250"/>
        <w:jc w:val="both"/>
        <w:rPr/>
      </w:pPr>
      <w:r>
        <w:rPr>
          <w:rFonts w:eastAsia="Arial" w:cs="Arial" w:ascii="Arial" w:hAnsi="Arial"/>
        </w:rPr>
        <w:t>Prova de inscrição Municipal, relativo ao domicílio ou sede do proponente, pertinente ao seu ramo de atividade e compatível com o objeto da licitação;</w:t>
      </w:r>
    </w:p>
    <w:p>
      <w:pPr>
        <w:pStyle w:val="normal11"/>
        <w:numPr>
          <w:ilvl w:val="0"/>
          <w:numId w:val="17"/>
        </w:numPr>
        <w:tabs>
          <w:tab w:val="clear" w:pos="720"/>
          <w:tab w:val="left" w:pos="494" w:leader="none"/>
          <w:tab w:val="left" w:pos="851" w:leader="none"/>
        </w:tabs>
        <w:spacing w:lineRule="auto" w:line="360"/>
        <w:ind w:hanging="0" w:left="0" w:right="250"/>
        <w:jc w:val="both"/>
        <w:rPr/>
      </w:pPr>
      <w:r>
        <w:rPr>
          <w:rFonts w:eastAsia="Arial" w:cs="Arial" w:ascii="Arial" w:hAnsi="Arial"/>
        </w:rPr>
        <w:t>Certidão Negativa de Débitos relativos aos Tributos Federais, à Dívida Ativa da União e às contribuições previdenciárias e de terceiros;</w:t>
      </w:r>
    </w:p>
    <w:p>
      <w:pPr>
        <w:pStyle w:val="normal11"/>
        <w:numPr>
          <w:ilvl w:val="0"/>
          <w:numId w:val="17"/>
        </w:numPr>
        <w:tabs>
          <w:tab w:val="clear" w:pos="720"/>
          <w:tab w:val="left" w:pos="448" w:leader="none"/>
          <w:tab w:val="left" w:pos="851" w:leader="none"/>
        </w:tabs>
        <w:spacing w:lineRule="auto" w:line="360"/>
        <w:ind w:hanging="0" w:left="0" w:right="250"/>
        <w:jc w:val="both"/>
        <w:rPr/>
      </w:pPr>
      <w:r>
        <w:rPr>
          <w:rFonts w:eastAsia="Arial" w:cs="Arial" w:ascii="Arial" w:hAnsi="Arial"/>
        </w:rPr>
        <w:t>Certidão Negativa de Débitos Estaduais, da sede do proponente;</w:t>
      </w:r>
    </w:p>
    <w:p>
      <w:pPr>
        <w:pStyle w:val="normal11"/>
        <w:numPr>
          <w:ilvl w:val="0"/>
          <w:numId w:val="17"/>
        </w:numPr>
        <w:tabs>
          <w:tab w:val="clear" w:pos="720"/>
          <w:tab w:val="left" w:pos="494" w:leader="none"/>
          <w:tab w:val="left" w:pos="851" w:leader="none"/>
        </w:tabs>
        <w:spacing w:lineRule="auto" w:line="360"/>
        <w:ind w:hanging="0" w:left="0" w:right="250"/>
        <w:jc w:val="both"/>
        <w:rPr/>
      </w:pPr>
      <w:r>
        <w:rPr>
          <w:rFonts w:eastAsia="Arial" w:cs="Arial" w:ascii="Arial" w:hAnsi="Arial"/>
        </w:rPr>
        <w:t>Certidão Negativa de Débitos Municipais, da sede do proponente;</w:t>
      </w:r>
    </w:p>
    <w:p>
      <w:pPr>
        <w:pStyle w:val="normal11"/>
        <w:numPr>
          <w:ilvl w:val="0"/>
          <w:numId w:val="17"/>
        </w:numPr>
        <w:tabs>
          <w:tab w:val="clear" w:pos="720"/>
          <w:tab w:val="left" w:pos="494" w:leader="none"/>
          <w:tab w:val="left" w:pos="851" w:leader="none"/>
        </w:tabs>
        <w:spacing w:lineRule="auto" w:line="360"/>
        <w:ind w:hanging="0" w:left="0" w:right="250"/>
        <w:jc w:val="both"/>
        <w:rPr/>
      </w:pPr>
      <w:r>
        <w:rPr>
          <w:rFonts w:eastAsia="Arial" w:cs="Arial" w:ascii="Arial" w:hAnsi="Arial"/>
        </w:rPr>
        <w:t>Certificado de Regularidade do FGTS;</w:t>
      </w:r>
    </w:p>
    <w:p>
      <w:pPr>
        <w:pStyle w:val="normal11"/>
        <w:numPr>
          <w:ilvl w:val="0"/>
          <w:numId w:val="17"/>
        </w:numPr>
        <w:tabs>
          <w:tab w:val="clear" w:pos="720"/>
          <w:tab w:val="left" w:pos="432" w:leader="none"/>
          <w:tab w:val="left" w:pos="851" w:leader="none"/>
        </w:tabs>
        <w:spacing w:lineRule="auto" w:line="360"/>
        <w:ind w:hanging="0" w:left="0" w:right="250"/>
        <w:jc w:val="both"/>
        <w:rPr/>
      </w:pPr>
      <w:r>
        <w:rPr>
          <w:rFonts w:eastAsia="Arial" w:cs="Arial" w:ascii="Arial" w:hAnsi="Arial"/>
        </w:rPr>
        <w:t>Certidão Negativa de Débitos Trabalhistas, conforme Lei nº 12.440, de 07 de julho de 2011;</w:t>
      </w:r>
    </w:p>
    <w:p>
      <w:pPr>
        <w:pStyle w:val="normal11"/>
        <w:numPr>
          <w:ilvl w:val="0"/>
          <w:numId w:val="17"/>
        </w:numPr>
        <w:tabs>
          <w:tab w:val="clear" w:pos="720"/>
          <w:tab w:val="left" w:pos="432" w:leader="none"/>
          <w:tab w:val="left" w:pos="851" w:leader="none"/>
        </w:tabs>
        <w:spacing w:lineRule="auto" w:line="360"/>
        <w:ind w:hanging="0" w:left="0" w:right="250"/>
        <w:jc w:val="both"/>
        <w:rPr/>
      </w:pPr>
      <w:r>
        <w:rPr>
          <w:rFonts w:eastAsia="Arial" w:cs="Arial" w:ascii="Arial" w:hAnsi="Arial"/>
        </w:rPr>
        <w:t>Certidão negativa de feitos sobre falência expedida pelo distribuidor da sede do licitante.</w:t>
      </w:r>
    </w:p>
    <w:p>
      <w:pPr>
        <w:pStyle w:val="normal11"/>
        <w:numPr>
          <w:ilvl w:val="0"/>
          <w:numId w:val="17"/>
        </w:numPr>
        <w:tabs>
          <w:tab w:val="clear" w:pos="720"/>
          <w:tab w:val="left" w:pos="571" w:leader="none"/>
          <w:tab w:val="left" w:pos="851" w:leader="none"/>
        </w:tabs>
        <w:spacing w:lineRule="auto" w:line="360"/>
        <w:ind w:hanging="0" w:left="0" w:right="250"/>
        <w:jc w:val="both"/>
        <w:rPr/>
      </w:pPr>
      <w:r>
        <w:rPr>
          <w:rFonts w:eastAsia="Arial" w:cs="Arial" w:ascii="Arial" w:hAnsi="Arial"/>
        </w:rPr>
        <w:t>Balanço Patrimonial, demonstração de resultado de exercício e demais demonstrações contábeis dos 2 (dois) últimos exercícios sociais;</w:t>
      </w:r>
    </w:p>
    <w:p>
      <w:pPr>
        <w:pStyle w:val="normal11"/>
        <w:tabs>
          <w:tab w:val="clear" w:pos="720"/>
          <w:tab w:val="left" w:pos="693" w:leader="none"/>
          <w:tab w:val="left" w:pos="851" w:leader="none"/>
        </w:tabs>
        <w:spacing w:lineRule="auto" w:line="360"/>
        <w:ind w:right="250"/>
        <w:jc w:val="both"/>
        <w:rPr>
          <w:rFonts w:ascii="Arial" w:hAnsi="Arial" w:eastAsia="Arial" w:cs="Arial"/>
        </w:rPr>
      </w:pPr>
      <w:r>
        <w:rPr>
          <w:rFonts w:eastAsia="Arial" w:cs="Arial" w:ascii="Arial" w:hAnsi="Arial"/>
        </w:rPr>
        <w:t>- As empresas que adotam o Livro Diário, na forma física, deverão apresentar os Balanços Patrimoniais e demonstrações contábeis dos últimos 2 (dois) exercícios extraídos dos próprios Livros Diários, acompanhados dos respectivos termos de abertura e encerramento do mesmo, contendo a assinatura do contador e do titular ou representante legal da empresa e ainda, registrado ou o requerimento de autenticação na Junta Comercial ou registrado no Cartório de Registro;</w:t>
      </w:r>
    </w:p>
    <w:p>
      <w:pPr>
        <w:pStyle w:val="normal11"/>
        <w:tabs>
          <w:tab w:val="clear" w:pos="720"/>
          <w:tab w:val="left" w:pos="693" w:leader="none"/>
          <w:tab w:val="left" w:pos="851" w:leader="none"/>
        </w:tabs>
        <w:spacing w:lineRule="auto" w:line="360"/>
        <w:ind w:right="250"/>
        <w:jc w:val="both"/>
        <w:rPr>
          <w:rFonts w:ascii="Arial" w:hAnsi="Arial" w:eastAsia="Arial" w:cs="Arial"/>
        </w:rPr>
      </w:pPr>
      <w:r>
        <w:rPr>
          <w:rFonts w:eastAsia="Arial" w:cs="Arial" w:ascii="Arial" w:hAnsi="Arial"/>
        </w:rPr>
        <w:t>- As empresas que adotam o SPED (Sistema Público Escrituração Digital) deverão apresentar Balanço Patrimonial e demonstrações contábeis dos últimos 2 (dois) exercícios sociais, extraídos do próprio sistema digital (SPED), acompanhados dos respectivos termos de abertura e encerramento dos mesmos e termos de autenticação ou recibos de entrega de escrituração contábil digital (conforme Decreto Federal n° 8.683/16), preferencialmente vistados em todas as páginas pelo representante legal da empresa;</w:t>
      </w:r>
    </w:p>
    <w:p>
      <w:pPr>
        <w:pStyle w:val="normal11"/>
        <w:tabs>
          <w:tab w:val="clear" w:pos="720"/>
          <w:tab w:val="left" w:pos="851" w:leader="none"/>
        </w:tabs>
        <w:spacing w:lineRule="auto" w:line="360"/>
        <w:ind w:right="250"/>
        <w:jc w:val="both"/>
        <w:rPr>
          <w:rFonts w:ascii="Arial" w:hAnsi="Arial" w:eastAsia="Arial" w:cs="Arial"/>
        </w:rPr>
      </w:pPr>
      <w:r>
        <w:rPr>
          <w:rFonts w:eastAsia="Arial" w:cs="Arial" w:ascii="Arial" w:hAnsi="Arial"/>
        </w:rPr>
        <w:t>- Os Balanços Patrimoniais referentes aos últimos exercícios sociais serão aceitos somente até 30 de abril do ano subsequente;</w:t>
      </w:r>
    </w:p>
    <w:p>
      <w:pPr>
        <w:pStyle w:val="normal11"/>
        <w:tabs>
          <w:tab w:val="clear" w:pos="720"/>
          <w:tab w:val="left" w:pos="851" w:leader="none"/>
        </w:tabs>
        <w:spacing w:lineRule="auto" w:line="360"/>
        <w:ind w:right="250"/>
        <w:jc w:val="both"/>
        <w:rPr>
          <w:rFonts w:ascii="Arial" w:hAnsi="Arial" w:eastAsia="Arial" w:cs="Arial"/>
        </w:rPr>
      </w:pPr>
      <w:r>
        <w:rPr>
          <w:rFonts w:eastAsia="Arial" w:cs="Arial" w:ascii="Arial" w:hAnsi="Arial"/>
        </w:rPr>
        <w:t>- As empresas criadas no exercício financeiro da licitação deverão atender a todas as exigências da habilitação e poderão substituir os demonstrativos contábeis pelo balanço de abertura.</w:t>
      </w:r>
    </w:p>
    <w:p>
      <w:pPr>
        <w:pStyle w:val="normal11"/>
        <w:tabs>
          <w:tab w:val="clear" w:pos="720"/>
          <w:tab w:val="left" w:pos="851" w:leader="none"/>
        </w:tabs>
        <w:spacing w:lineRule="auto" w:line="360"/>
        <w:ind w:right="250"/>
        <w:jc w:val="both"/>
        <w:rPr>
          <w:rFonts w:ascii="Arial" w:hAnsi="Arial" w:eastAsia="Arial" w:cs="Arial"/>
        </w:rPr>
      </w:pPr>
      <w:r>
        <w:rPr>
          <w:rFonts w:eastAsia="Arial" w:cs="Arial" w:ascii="Arial" w:hAnsi="Arial"/>
        </w:rPr>
        <w:t>- Os documentos referidos acima limitar-se-ão ao último exercício no caso de a pessoa jurídica ter sido constituída há menos de 2 (dois) anos;</w:t>
      </w:r>
    </w:p>
    <w:p>
      <w:pPr>
        <w:pStyle w:val="normal11"/>
        <w:tabs>
          <w:tab w:val="clear" w:pos="720"/>
          <w:tab w:val="left" w:pos="851" w:leader="none"/>
        </w:tabs>
        <w:spacing w:lineRule="auto" w:line="360"/>
        <w:ind w:right="250"/>
        <w:jc w:val="both"/>
        <w:rPr>
          <w:rFonts w:ascii="Arial" w:hAnsi="Arial" w:eastAsia="Arial" w:cs="Arial"/>
        </w:rPr>
      </w:pPr>
      <w:r>
        <w:rPr>
          <w:rFonts w:eastAsia="Arial" w:cs="Arial" w:ascii="Arial" w:hAnsi="Arial"/>
        </w:rPr>
      </w:r>
    </w:p>
    <w:p>
      <w:pPr>
        <w:pStyle w:val="normal11"/>
        <w:numPr>
          <w:ilvl w:val="0"/>
          <w:numId w:val="17"/>
        </w:numPr>
        <w:tabs>
          <w:tab w:val="clear" w:pos="720"/>
          <w:tab w:val="left" w:pos="469" w:leader="none"/>
          <w:tab w:val="left" w:pos="851" w:leader="none"/>
        </w:tabs>
        <w:spacing w:lineRule="auto" w:line="360"/>
        <w:ind w:hanging="0" w:left="0" w:right="250"/>
        <w:jc w:val="both"/>
        <w:rPr/>
      </w:pPr>
      <w:r>
        <w:rPr>
          <w:rFonts w:eastAsia="Arial" w:cs="Arial" w:ascii="Arial" w:hAnsi="Arial"/>
        </w:rPr>
        <w:t>Para avaliar a situação financeira do proponente serão considerados os índices de Liquidez Geral (LG), Solvência Geral (SG) e Liquidez Corrente (LC), iguais ou superiores a 1 (um), em ambos os exercícios, apurados pelas fórmulas abaixo, cujo cálculo poderá ser demonstrado em documento próprio, devidamente assinado pelo representante legal da empresa.</w:t>
      </w:r>
    </w:p>
    <w:p>
      <w:pPr>
        <w:pStyle w:val="normal11"/>
        <w:tabs>
          <w:tab w:val="clear" w:pos="720"/>
          <w:tab w:val="left" w:pos="851" w:leader="none"/>
        </w:tabs>
        <w:spacing w:lineRule="auto" w:line="360"/>
        <w:jc w:val="both"/>
        <w:rPr>
          <w:rFonts w:ascii="Arial" w:hAnsi="Arial" w:eastAsia="Arial" w:cs="Arial"/>
        </w:rPr>
      </w:pPr>
      <w:r>
        <w:rPr>
          <w:rFonts w:eastAsia="Arial" w:cs="Arial" w:ascii="Arial" w:hAnsi="Arial"/>
        </w:rPr>
      </w:r>
    </w:p>
    <w:p>
      <w:pPr>
        <w:pStyle w:val="normal11"/>
        <w:tabs>
          <w:tab w:val="clear" w:pos="720"/>
          <w:tab w:val="left" w:pos="851" w:leader="none"/>
          <w:tab w:val="left" w:pos="1107" w:leader="none"/>
        </w:tabs>
        <w:spacing w:lineRule="auto" w:line="360"/>
        <w:ind w:right="1688"/>
        <w:jc w:val="both"/>
        <w:rPr>
          <w:rFonts w:ascii="Arial" w:hAnsi="Arial" w:eastAsia="Arial" w:cs="Arial"/>
        </w:rPr>
      </w:pPr>
      <w:r>
        <w:rPr>
          <w:rFonts w:eastAsia="Arial" w:cs="Arial" w:ascii="Arial" w:hAnsi="Arial"/>
        </w:rPr>
        <w:t>LG =    _</w:t>
      </w:r>
      <w:r>
        <w:rPr>
          <w:rFonts w:eastAsia="Arial" w:cs="Arial" w:ascii="Arial" w:hAnsi="Arial"/>
          <w:u w:val="single"/>
        </w:rPr>
        <w:t>(ATIVO CIRCULANTE + REALIZÁVEL A LONGO PRAZO)</w:t>
      </w:r>
      <w:r>
        <w:rPr>
          <w:rFonts w:eastAsia="Arial" w:cs="Arial" w:ascii="Arial" w:hAnsi="Arial"/>
        </w:rPr>
        <w:t xml:space="preserve">_ </w:t>
      </w:r>
    </w:p>
    <w:p>
      <w:pPr>
        <w:pStyle w:val="normal11"/>
        <w:tabs>
          <w:tab w:val="clear" w:pos="720"/>
          <w:tab w:val="left" w:pos="851" w:leader="none"/>
          <w:tab w:val="left" w:pos="1107" w:leader="none"/>
        </w:tabs>
        <w:spacing w:lineRule="auto" w:line="360"/>
        <w:ind w:right="1688"/>
        <w:jc w:val="both"/>
        <w:rPr>
          <w:rFonts w:ascii="Arial" w:hAnsi="Arial" w:eastAsia="Arial" w:cs="Arial"/>
        </w:rPr>
      </w:pPr>
      <w:r>
        <w:rPr>
          <w:rFonts w:eastAsia="Arial" w:cs="Arial" w:ascii="Arial" w:hAnsi="Arial"/>
        </w:rPr>
        <w:t xml:space="preserve">            </w:t>
      </w:r>
      <w:r>
        <w:rPr>
          <w:rFonts w:eastAsia="Arial" w:cs="Arial" w:ascii="Arial" w:hAnsi="Arial"/>
        </w:rPr>
        <w:t>(PASSIVO CIRCULANTE + PASSIVO NÃO CIRCULANTE)</w:t>
      </w:r>
    </w:p>
    <w:p>
      <w:pPr>
        <w:pStyle w:val="normal11"/>
        <w:tabs>
          <w:tab w:val="clear" w:pos="720"/>
          <w:tab w:val="left" w:pos="851" w:leader="none"/>
        </w:tabs>
        <w:spacing w:lineRule="auto" w:line="360"/>
        <w:jc w:val="both"/>
        <w:rPr>
          <w:rFonts w:ascii="Arial" w:hAnsi="Arial" w:eastAsia="Arial" w:cs="Arial"/>
        </w:rPr>
      </w:pPr>
      <w:r>
        <w:rPr>
          <w:rFonts w:eastAsia="Arial" w:cs="Arial" w:ascii="Arial" w:hAnsi="Arial"/>
        </w:rPr>
      </w:r>
    </w:p>
    <w:p>
      <w:pPr>
        <w:pStyle w:val="normal11"/>
        <w:tabs>
          <w:tab w:val="clear" w:pos="720"/>
          <w:tab w:val="left" w:pos="851" w:leader="none"/>
          <w:tab w:val="left" w:pos="3503" w:leader="none"/>
        </w:tabs>
        <w:spacing w:lineRule="auto" w:line="360"/>
        <w:jc w:val="both"/>
        <w:rPr>
          <w:rFonts w:ascii="Arial" w:hAnsi="Arial" w:eastAsia="Arial" w:cs="Arial"/>
        </w:rPr>
      </w:pPr>
      <w:r>
        <w:rPr>
          <w:rFonts w:eastAsia="Arial" w:cs="Arial" w:ascii="Arial" w:hAnsi="Arial"/>
        </w:rPr>
        <w:t>SG = ________________</w:t>
      </w:r>
      <w:r>
        <w:rPr>
          <w:rFonts w:eastAsia="Arial" w:cs="Arial" w:ascii="Arial" w:hAnsi="Arial"/>
          <w:u w:val="single"/>
        </w:rPr>
        <w:t>ATIVO TOTA</w:t>
      </w:r>
      <w:r>
        <w:rPr>
          <w:rFonts w:eastAsia="Arial" w:cs="Arial" w:ascii="Arial" w:hAnsi="Arial"/>
        </w:rPr>
        <w:t>L______________________</w:t>
      </w:r>
    </w:p>
    <w:p>
      <w:pPr>
        <w:pStyle w:val="normal11"/>
        <w:tabs>
          <w:tab w:val="clear" w:pos="720"/>
          <w:tab w:val="left" w:pos="851" w:leader="none"/>
        </w:tabs>
        <w:spacing w:lineRule="auto" w:line="360"/>
        <w:jc w:val="both"/>
        <w:rPr>
          <w:rFonts w:ascii="Arial" w:hAnsi="Arial" w:eastAsia="Arial" w:cs="Arial"/>
        </w:rPr>
      </w:pPr>
      <w:r>
        <w:rPr>
          <w:rFonts w:eastAsia="Arial" w:cs="Arial" w:ascii="Arial" w:hAnsi="Arial"/>
        </w:rPr>
        <w:t xml:space="preserve">           </w:t>
      </w:r>
      <w:r>
        <w:rPr>
          <w:rFonts w:eastAsia="Arial" w:cs="Arial" w:ascii="Arial" w:hAnsi="Arial"/>
        </w:rPr>
        <w:t>(PASSIVO CIRCULANTE + PASSIVO NÃO CIRCULANTE)</w:t>
      </w:r>
    </w:p>
    <w:p>
      <w:pPr>
        <w:pStyle w:val="normal11"/>
        <w:tabs>
          <w:tab w:val="clear" w:pos="720"/>
          <w:tab w:val="left" w:pos="851" w:leader="none"/>
        </w:tabs>
        <w:spacing w:lineRule="auto" w:line="360"/>
        <w:jc w:val="both"/>
        <w:rPr>
          <w:rFonts w:ascii="Arial" w:hAnsi="Arial" w:eastAsia="Arial" w:cs="Arial"/>
        </w:rPr>
      </w:pPr>
      <w:r>
        <w:rPr>
          <w:rFonts w:eastAsia="Arial" w:cs="Arial" w:ascii="Arial" w:hAnsi="Arial"/>
        </w:rPr>
      </w:r>
    </w:p>
    <w:p>
      <w:pPr>
        <w:pStyle w:val="normal11"/>
        <w:tabs>
          <w:tab w:val="clear" w:pos="720"/>
          <w:tab w:val="left" w:pos="851" w:leader="none"/>
          <w:tab w:val="left" w:pos="1107" w:leader="none"/>
        </w:tabs>
        <w:spacing w:lineRule="auto" w:line="360"/>
        <w:ind w:right="1688"/>
        <w:jc w:val="both"/>
        <w:rPr>
          <w:rFonts w:ascii="Arial" w:hAnsi="Arial" w:eastAsia="Arial" w:cs="Arial"/>
        </w:rPr>
      </w:pPr>
      <w:r>
        <w:rPr>
          <w:rFonts w:eastAsia="Arial" w:cs="Arial" w:ascii="Arial" w:hAnsi="Arial"/>
        </w:rPr>
        <w:t xml:space="preserve">LC =    </w:t>
      </w:r>
      <w:r>
        <w:rPr>
          <w:rFonts w:eastAsia="Arial" w:cs="Arial" w:ascii="Arial" w:hAnsi="Arial"/>
          <w:u w:val="single"/>
        </w:rPr>
        <w:tab/>
        <w:t>ATIVO CIRCULANTE</w:t>
      </w:r>
      <w:r>
        <w:rPr>
          <w:rFonts w:eastAsia="Arial" w:cs="Arial" w:ascii="Arial" w:hAnsi="Arial"/>
        </w:rPr>
        <w:t xml:space="preserve">__           </w:t>
      </w:r>
    </w:p>
    <w:p>
      <w:pPr>
        <w:pStyle w:val="normal11"/>
        <w:tabs>
          <w:tab w:val="clear" w:pos="720"/>
          <w:tab w:val="left" w:pos="851" w:leader="none"/>
          <w:tab w:val="left" w:pos="1107" w:leader="none"/>
        </w:tabs>
        <w:spacing w:lineRule="auto" w:line="360"/>
        <w:ind w:right="1688"/>
        <w:jc w:val="both"/>
        <w:rPr>
          <w:rFonts w:ascii="Arial" w:hAnsi="Arial" w:eastAsia="Arial" w:cs="Arial"/>
        </w:rPr>
      </w:pPr>
      <w:r>
        <w:rPr>
          <w:rFonts w:eastAsia="Arial" w:cs="Arial" w:ascii="Arial" w:hAnsi="Arial"/>
        </w:rPr>
        <w:t xml:space="preserve">             </w:t>
      </w:r>
      <w:r>
        <w:rPr>
          <w:rFonts w:eastAsia="Arial" w:cs="Arial" w:ascii="Arial" w:hAnsi="Arial"/>
        </w:rPr>
        <w:t>PASSIVO CIRCULANTE</w:t>
      </w:r>
    </w:p>
    <w:p>
      <w:pPr>
        <w:pStyle w:val="normal11"/>
        <w:tabs>
          <w:tab w:val="clear" w:pos="720"/>
          <w:tab w:val="left" w:pos="851" w:leader="none"/>
        </w:tabs>
        <w:spacing w:lineRule="auto" w:line="360"/>
        <w:jc w:val="both"/>
        <w:rPr>
          <w:rFonts w:ascii="Arial" w:hAnsi="Arial" w:eastAsia="Arial" w:cs="Arial"/>
          <w:highlight w:val="yellow"/>
        </w:rPr>
      </w:pPr>
      <w:r>
        <w:rPr>
          <w:rFonts w:eastAsia="Arial" w:cs="Arial" w:ascii="Arial" w:hAnsi="Arial"/>
          <w:highlight w:val="yellow"/>
        </w:rPr>
      </w:r>
    </w:p>
    <w:p>
      <w:pPr>
        <w:pStyle w:val="normal11"/>
        <w:numPr>
          <w:ilvl w:val="0"/>
          <w:numId w:val="28"/>
        </w:numPr>
        <w:tabs>
          <w:tab w:val="clear" w:pos="720"/>
          <w:tab w:val="left" w:pos="851" w:leader="none"/>
        </w:tabs>
        <w:spacing w:lineRule="auto" w:line="360"/>
        <w:ind w:hanging="0" w:left="0" w:right="241"/>
        <w:jc w:val="both"/>
        <w:rPr>
          <w:rFonts w:ascii="Arial" w:hAnsi="Arial" w:eastAsia="Arial" w:cs="Arial"/>
        </w:rPr>
      </w:pPr>
      <w:r>
        <w:rPr>
          <w:rFonts w:eastAsia="Arial" w:cs="Arial" w:ascii="Arial" w:hAnsi="Arial"/>
        </w:rPr>
        <w:t>O atendimento dos índices econômicos previstos neste item deverá ser atestado mediante declaração assinada por profissional habilitado da área contábil, apresentada pelo fornecedor.</w:t>
      </w:r>
    </w:p>
    <w:p>
      <w:pPr>
        <w:pStyle w:val="normal11"/>
        <w:numPr>
          <w:ilvl w:val="0"/>
          <w:numId w:val="1"/>
        </w:numPr>
        <w:tabs>
          <w:tab w:val="clear" w:pos="720"/>
          <w:tab w:val="left" w:pos="851" w:leader="none"/>
        </w:tabs>
        <w:spacing w:lineRule="auto" w:line="360"/>
        <w:ind w:hanging="0" w:left="0" w:right="243"/>
        <w:jc w:val="both"/>
        <w:rPr>
          <w:rFonts w:ascii="Arial" w:hAnsi="Arial" w:eastAsia="Arial" w:cs="Arial"/>
        </w:rPr>
      </w:pPr>
      <w:r>
        <w:rPr>
          <w:rFonts w:eastAsia="Arial" w:cs="Arial" w:ascii="Arial" w:hAnsi="Arial"/>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pPr>
        <w:pStyle w:val="normal11"/>
        <w:tabs>
          <w:tab w:val="clear" w:pos="720"/>
          <w:tab w:val="left" w:pos="851" w:leader="none"/>
        </w:tabs>
        <w:spacing w:lineRule="auto" w:line="360"/>
        <w:ind w:right="243"/>
        <w:jc w:val="both"/>
        <w:rPr>
          <w:rFonts w:ascii="Arial" w:hAnsi="Arial" w:eastAsia="Arial" w:cs="Arial"/>
        </w:rPr>
      </w:pPr>
      <w:r>
        <w:rPr>
          <w:rFonts w:eastAsia="Arial" w:cs="Arial" w:ascii="Arial" w:hAnsi="Arial"/>
        </w:rPr>
      </w:r>
    </w:p>
    <w:p>
      <w:pPr>
        <w:pStyle w:val="normal11"/>
        <w:pBdr/>
        <w:spacing w:lineRule="auto" w:line="360"/>
        <w:ind w:right="243"/>
        <w:jc w:val="both"/>
        <w:rPr>
          <w:rFonts w:ascii="Arial" w:hAnsi="Arial" w:eastAsia="Arial" w:cs="Arial"/>
          <w:color w:val="000000"/>
        </w:rPr>
      </w:pPr>
      <w:r>
        <w:rPr>
          <w:rFonts w:eastAsia="Arial" w:cs="Arial" w:ascii="Arial" w:hAnsi="Arial"/>
          <w:b/>
          <w:color w:val="000000"/>
        </w:rPr>
        <w:t>n)</w:t>
      </w:r>
      <w:r>
        <w:rPr>
          <w:rFonts w:eastAsia="Arial" w:cs="Arial" w:ascii="Arial" w:hAnsi="Arial"/>
          <w:color w:val="000000"/>
        </w:rPr>
        <w:t xml:space="preserve"> Certificado de Registro e regularidade da empresa (certidão Pessoa Jurídica) junto ao Conselho Regional de Engenharia e Agronomia (CREA) ou Conselho de Arquitetura e Urbanismo (CAU).</w:t>
      </w:r>
    </w:p>
    <w:p>
      <w:pPr>
        <w:pStyle w:val="normal11"/>
        <w:pBdr/>
        <w:spacing w:lineRule="auto" w:line="360"/>
        <w:ind w:right="243"/>
        <w:jc w:val="both"/>
        <w:rPr>
          <w:rFonts w:ascii="Arial" w:hAnsi="Arial" w:eastAsia="Arial" w:cs="Arial"/>
          <w:color w:val="000000"/>
        </w:rPr>
      </w:pPr>
      <w:r>
        <w:rPr>
          <w:rFonts w:eastAsia="Arial" w:cs="Arial" w:ascii="Arial" w:hAnsi="Arial"/>
          <w:b/>
          <w:color w:val="000000"/>
        </w:rPr>
        <w:t>o)</w:t>
      </w:r>
      <w:r>
        <w:rPr>
          <w:rFonts w:eastAsia="Arial" w:cs="Arial" w:ascii="Arial" w:hAnsi="Arial"/>
          <w:color w:val="000000"/>
        </w:rPr>
        <w:t xml:space="preserve"> Certificado de regularidade do(s) Responsável(is) Técnico(s) (Certidão Pessoa Física) junto ao Conselho Regional de Engenharia e Agronomia (CREA) ou Conselho de Arquitetura e Urbanismo (CAU).</w:t>
      </w:r>
    </w:p>
    <w:p>
      <w:pPr>
        <w:pStyle w:val="normal11"/>
        <w:pBdr/>
        <w:spacing w:lineRule="auto" w:line="360"/>
        <w:ind w:right="243"/>
        <w:jc w:val="both"/>
        <w:rPr>
          <w:rFonts w:ascii="Arial" w:hAnsi="Arial" w:eastAsia="Arial" w:cs="Arial"/>
          <w:color w:val="000000"/>
        </w:rPr>
      </w:pPr>
      <w:r>
        <w:rPr>
          <w:rFonts w:eastAsia="Arial" w:cs="Arial" w:ascii="Arial" w:hAnsi="Arial"/>
          <w:b/>
          <w:color w:val="000000"/>
        </w:rPr>
        <w:t>p)</w:t>
      </w:r>
      <w:r>
        <w:rPr>
          <w:rFonts w:eastAsia="Arial" w:cs="Arial" w:ascii="Arial" w:hAnsi="Arial"/>
          <w:color w:val="000000"/>
        </w:rPr>
        <w:t xml:space="preserve"> A empresa deverá comprovar em seu quadro permanente vinculação profissional através de carteira profissional de trabalho, Ficha de Registro de Empregado (FRE) ou contrato de prestação de serviços que demonstrem a identificação do profissional e, na hipótese do detentor do atestado ser o proprietário ou sócio da empresa, a comprovação se dará mediante a apresentação do contrato social em vigor. A empresa deverá possuir em seu quadro:</w:t>
      </w:r>
    </w:p>
    <w:p>
      <w:pPr>
        <w:pStyle w:val="normal11"/>
        <w:pBdr/>
        <w:spacing w:lineRule="auto" w:line="360"/>
        <w:ind w:right="243"/>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01 (um) Engenheiro Civil</w:t>
      </w:r>
      <w:r>
        <w:rPr>
          <w:rFonts w:eastAsia="Arial" w:cs="Arial" w:ascii="Arial" w:hAnsi="Arial"/>
        </w:rPr>
        <w:t xml:space="preserve"> ou Arquiteto(a);</w:t>
      </w:r>
    </w:p>
    <w:p>
      <w:pPr>
        <w:pStyle w:val="normal11"/>
        <w:pBdr/>
        <w:spacing w:lineRule="auto" w:line="360"/>
        <w:ind w:right="243"/>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01 (um) Encarregado de Obras;</w:t>
      </w:r>
    </w:p>
    <w:p>
      <w:pPr>
        <w:pStyle w:val="normal11"/>
        <w:pBdr/>
        <w:spacing w:lineRule="auto" w:line="360"/>
        <w:ind w:right="243"/>
        <w:jc w:val="both"/>
        <w:rPr>
          <w:rFonts w:ascii="Arial" w:hAnsi="Arial" w:eastAsia="Arial" w:cs="Arial"/>
          <w:color w:val="000000"/>
        </w:rPr>
      </w:pPr>
      <w:r>
        <w:rPr>
          <w:rFonts w:eastAsia="Arial" w:cs="Arial" w:ascii="Arial" w:hAnsi="Arial"/>
          <w:b/>
          <w:color w:val="000000"/>
        </w:rPr>
        <w:t>q)</w:t>
      </w:r>
      <w:r>
        <w:rPr>
          <w:rFonts w:eastAsia="Arial" w:cs="Arial" w:ascii="Arial" w:hAnsi="Arial"/>
          <w:color w:val="000000"/>
        </w:rPr>
        <w:t xml:space="preserve"> Atestado de capacidade técnico-operacional, devidamente registrado no CREA/CAU da região onde os serviços foram executados, acompanhado da respectiva Certidão de Acervo Técnico – CAT, expedida por esses Conselhos, que comprove que a licitante tenha executado, para órgão ou entidade da administração pública direta ou indireta, federal, estadual, municipal ou do Distrito Federal, ou ainda para empresa privada, obras/serviços de características técnicas similares </w:t>
      </w:r>
      <w:r>
        <w:rPr>
          <w:rFonts w:eastAsia="Arial" w:cs="Arial" w:ascii="Arial" w:hAnsi="Arial"/>
        </w:rPr>
        <w:t>às do</w:t>
      </w:r>
      <w:r>
        <w:rPr>
          <w:rFonts w:eastAsia="Arial" w:cs="Arial" w:ascii="Arial" w:hAnsi="Arial"/>
          <w:color w:val="000000"/>
        </w:rPr>
        <w:t xml:space="preserve"> objeto da presente licitação, não se admitindo atestado de fiscalização da execução de obras/serviços, cujas parcelas de maior relevância </w:t>
      </w:r>
      <w:r>
        <w:rPr>
          <w:rFonts w:eastAsia="Arial" w:cs="Arial" w:ascii="Arial" w:hAnsi="Arial"/>
        </w:rPr>
        <w:t>estão descritas no Termo de Referência.</w:t>
      </w:r>
    </w:p>
    <w:p>
      <w:pPr>
        <w:pStyle w:val="normal11"/>
        <w:pBdr/>
        <w:spacing w:lineRule="auto" w:line="360"/>
        <w:ind w:right="250"/>
        <w:rPr>
          <w:rFonts w:ascii="Arial" w:hAnsi="Arial" w:eastAsia="Arial" w:cs="Arial"/>
          <w:b/>
          <w:color w:val="000000"/>
        </w:rPr>
      </w:pPr>
      <w:r>
        <w:rPr>
          <w:rFonts w:eastAsia="Arial" w:cs="Arial" w:ascii="Arial" w:hAnsi="Arial"/>
          <w:b/>
          <w:color w:val="000000"/>
        </w:rPr>
        <w:t xml:space="preserve">r) </w:t>
      </w:r>
      <w:r>
        <w:rPr>
          <w:rFonts w:eastAsia="Arial" w:cs="Arial" w:ascii="Arial" w:hAnsi="Arial"/>
          <w:color w:val="000000"/>
        </w:rPr>
        <w:t>Atestado de capacidade técnica que comprove que o Engenheiro Responsável técnico pela obra tenha executado obras/serviços de características técnicas similares às do objeto da presente licitação.</w:t>
      </w:r>
    </w:p>
    <w:p>
      <w:pPr>
        <w:pStyle w:val="normal11"/>
        <w:numPr>
          <w:ilvl w:val="1"/>
          <w:numId w:val="15"/>
        </w:numPr>
        <w:pBdr/>
        <w:tabs>
          <w:tab w:val="clear" w:pos="720"/>
          <w:tab w:val="left" w:pos="622" w:leader="none"/>
        </w:tabs>
        <w:spacing w:lineRule="auto" w:line="360"/>
        <w:ind w:right="250"/>
        <w:jc w:val="both"/>
        <w:rPr>
          <w:rFonts w:ascii="Arial" w:hAnsi="Arial" w:eastAsia="Arial" w:cs="Arial"/>
          <w:color w:val="000000"/>
        </w:rPr>
      </w:pPr>
      <w:r>
        <w:rPr>
          <w:rFonts w:eastAsia="Arial" w:cs="Arial" w:ascii="Arial" w:hAnsi="Arial"/>
          <w:b/>
          <w:color w:val="000000"/>
        </w:rPr>
        <w:t>9.6.</w:t>
      </w:r>
      <w:r>
        <w:rPr>
          <w:rFonts w:eastAsia="Arial" w:cs="Arial" w:ascii="Arial" w:hAnsi="Arial"/>
          <w:color w:val="000000"/>
        </w:rPr>
        <w:t xml:space="preserve"> Os comprovantes exigidos, quando for o caso, deverão apresentar prazo de validade até a data limite fixada para a apresentação das propostas, nos termos do subitem 6.1 deste Edital. Não constando a vigência, será considerado o prazo de 90 (noventa) dias da data da emissão.</w:t>
      </w:r>
    </w:p>
    <w:p>
      <w:pPr>
        <w:pStyle w:val="normal11"/>
        <w:numPr>
          <w:ilvl w:val="1"/>
          <w:numId w:val="15"/>
        </w:numPr>
        <w:pBdr/>
        <w:tabs>
          <w:tab w:val="clear" w:pos="720"/>
          <w:tab w:val="left" w:pos="614" w:leader="none"/>
        </w:tabs>
        <w:spacing w:lineRule="auto" w:line="360"/>
        <w:ind w:right="250"/>
        <w:jc w:val="both"/>
        <w:rPr>
          <w:rFonts w:ascii="Arial" w:hAnsi="Arial" w:eastAsia="Arial" w:cs="Arial"/>
          <w:color w:val="000000"/>
        </w:rPr>
      </w:pPr>
      <w:r>
        <w:rPr>
          <w:rFonts w:eastAsia="Arial" w:cs="Arial" w:ascii="Arial" w:hAnsi="Arial"/>
          <w:b/>
          <w:color w:val="000000"/>
        </w:rPr>
        <w:t>9.7.</w:t>
      </w:r>
      <w:r>
        <w:rPr>
          <w:rFonts w:eastAsia="Arial" w:cs="Arial" w:ascii="Arial" w:hAnsi="Arial"/>
          <w:color w:val="000000"/>
        </w:rPr>
        <w:t xml:space="preserve"> Sob pena de inabilitação, nos documentos a que se refere o subitem 9.6 deste edital deverão constar o nome/razão social do proponente, o número do CNPJ e o respectivo endereço, observado que se o proponente for:</w:t>
      </w:r>
    </w:p>
    <w:p>
      <w:pPr>
        <w:pStyle w:val="normal11"/>
        <w:numPr>
          <w:ilvl w:val="0"/>
          <w:numId w:val="13"/>
        </w:numPr>
        <w:pBdr/>
        <w:tabs>
          <w:tab w:val="clear" w:pos="720"/>
          <w:tab w:val="left" w:pos="494"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matriz, todos os documentos deverão estar em nome da matriz;</w:t>
      </w:r>
    </w:p>
    <w:p>
      <w:pPr>
        <w:pStyle w:val="normal11"/>
        <w:numPr>
          <w:ilvl w:val="0"/>
          <w:numId w:val="13"/>
        </w:numPr>
        <w:pBdr/>
        <w:tabs>
          <w:tab w:val="clear" w:pos="720"/>
          <w:tab w:val="left" w:pos="494" w:leader="none"/>
        </w:tabs>
        <w:spacing w:lineRule="auto" w:line="360"/>
        <w:ind w:hanging="0" w:left="0" w:right="250"/>
        <w:jc w:val="both"/>
        <w:rPr>
          <w:rFonts w:ascii="Arial" w:hAnsi="Arial" w:eastAsia="Arial" w:cs="Arial"/>
          <w:color w:val="000000"/>
        </w:rPr>
      </w:pPr>
      <w:r>
        <w:rPr>
          <w:rFonts w:eastAsia="Arial" w:cs="Arial" w:ascii="Arial" w:hAnsi="Arial"/>
          <w:color w:val="000000"/>
        </w:rPr>
        <w:t>filial, todos os documentos deverão estar em nome da filial;</w:t>
      </w:r>
    </w:p>
    <w:p>
      <w:pPr>
        <w:pStyle w:val="normal11"/>
        <w:numPr>
          <w:ilvl w:val="0"/>
          <w:numId w:val="13"/>
        </w:numPr>
        <w:pBdr/>
        <w:tabs>
          <w:tab w:val="clear" w:pos="720"/>
          <w:tab w:val="left" w:pos="558" w:leader="none"/>
        </w:tabs>
        <w:spacing w:lineRule="auto" w:line="360"/>
        <w:ind w:hanging="0" w:left="0" w:right="250"/>
        <w:jc w:val="both"/>
        <w:rPr>
          <w:rFonts w:ascii="Arial" w:hAnsi="Arial" w:eastAsia="Arial" w:cs="Arial"/>
          <w:color w:val="000000"/>
        </w:rPr>
      </w:pPr>
      <w:r>
        <w:rPr>
          <w:rFonts w:eastAsia="Arial" w:cs="Arial" w:ascii="Arial" w:hAnsi="Arial"/>
          <w:color w:val="000000"/>
        </w:rPr>
        <w:t>a matriz, e a execução for realizado pela filial, os documentos exigidos neste Edital deverão ser apresentados em nome da matriz e da filial, simultaneamente, com exceção dos documentos conjuntos ou consolidados, desde que devidamente comprovada a centralização.</w:t>
      </w:r>
    </w:p>
    <w:p>
      <w:pPr>
        <w:pStyle w:val="normal11"/>
        <w:numPr>
          <w:ilvl w:val="1"/>
          <w:numId w:val="15"/>
        </w:numPr>
        <w:pBdr/>
        <w:tabs>
          <w:tab w:val="clear" w:pos="720"/>
          <w:tab w:val="left" w:pos="601" w:leader="none"/>
        </w:tabs>
        <w:spacing w:lineRule="auto" w:line="360"/>
        <w:ind w:right="250"/>
        <w:jc w:val="both"/>
        <w:rPr>
          <w:rFonts w:ascii="Arial" w:hAnsi="Arial" w:eastAsia="Arial" w:cs="Arial"/>
          <w:color w:val="000000"/>
        </w:rPr>
      </w:pPr>
      <w:r>
        <w:rPr>
          <w:rFonts w:eastAsia="Arial" w:cs="Arial" w:ascii="Arial" w:hAnsi="Arial"/>
          <w:b/>
          <w:color w:val="000000"/>
        </w:rPr>
        <w:t xml:space="preserve">9.8. </w:t>
      </w:r>
      <w:r>
        <w:rPr>
          <w:rFonts w:eastAsia="Arial" w:cs="Arial" w:ascii="Arial" w:hAnsi="Arial"/>
          <w:color w:val="000000"/>
        </w:rPr>
        <w:t>O proponente poderá apresentar os comprovantes de regularidade relativa à Seguridade Social – INSS e ao Fundo de Garantia por Tempo de Serviço - FGTS centralizados junto à matriz, desde que apresente comprovante da centralização do recolhimento das contribuições e a certidão em que consta o CNPJ da entidade centralizadora.</w:t>
      </w:r>
    </w:p>
    <w:p>
      <w:pPr>
        <w:pStyle w:val="normal11"/>
        <w:numPr>
          <w:ilvl w:val="1"/>
          <w:numId w:val="15"/>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9.9. </w:t>
      </w:r>
      <w:r>
        <w:rPr>
          <w:rFonts w:eastAsia="Arial" w:cs="Arial" w:ascii="Arial" w:hAnsi="Arial"/>
          <w:color w:val="000000"/>
        </w:rPr>
        <w:t xml:space="preserve">A Microempresa e Empresa de Pequeno Porte deverão apresentar toda a documentação exigida para efeito de comprovação de regularidade fiscal e trabalhista, mesmo que esta apresente alguma restrição e, uma vez sendo declarada vencedora do certame, terá prazo de </w:t>
      </w:r>
      <w:r>
        <w:rPr>
          <w:rFonts w:eastAsia="Arial" w:cs="Arial" w:ascii="Arial" w:hAnsi="Arial"/>
          <w:b/>
          <w:color w:val="000000"/>
        </w:rPr>
        <w:t xml:space="preserve">05 (cinco) dias úteis, </w:t>
      </w:r>
      <w:r>
        <w:rPr>
          <w:rFonts w:eastAsia="Arial" w:cs="Arial" w:ascii="Arial" w:hAnsi="Arial"/>
          <w:color w:val="000000"/>
        </w:rPr>
        <w:t>cujo termo inicial corresponderá ao momento em que o proponente for declarado vencedor do certame, prorrogável por igual período, a critério da Administração Pública, para a regularização da documentação, pagamento ou parcelamento do débito, e emissão de eventuais certidões negativas ou positivas com efeito de certidão negativa.</w:t>
      </w:r>
    </w:p>
    <w:p>
      <w:pPr>
        <w:pStyle w:val="normal11"/>
        <w:pBdr/>
        <w:tabs>
          <w:tab w:val="clear" w:pos="720"/>
          <w:tab w:val="left" w:pos="990" w:leader="none"/>
        </w:tabs>
        <w:spacing w:lineRule="auto" w:line="360"/>
        <w:ind w:right="250"/>
        <w:jc w:val="both"/>
        <w:rPr>
          <w:rFonts w:ascii="Arial" w:hAnsi="Arial" w:eastAsia="Arial" w:cs="Arial"/>
          <w:color w:val="000000"/>
        </w:rPr>
      </w:pPr>
      <w:r>
        <w:rPr>
          <w:rFonts w:eastAsia="Arial" w:cs="Arial" w:ascii="Arial" w:hAnsi="Arial"/>
          <w:b/>
          <w:color w:val="000000"/>
        </w:rPr>
        <w:t>9.10.</w:t>
      </w:r>
      <w:r>
        <w:rPr>
          <w:rFonts w:eastAsia="Arial" w:cs="Arial" w:ascii="Arial" w:hAnsi="Arial"/>
          <w:color w:val="000000"/>
        </w:rPr>
        <w:t xml:space="preserve"> A não regularização da documentação, no prazo fixado, implicará decadência do direito à contratação, sem prejuízo das sanções previstas na Lei nº 14.133/21, sendo facultado à Administração convocar os proponentes remanescentes, na ordem de classificação, para a assinatura do contrato, ou revogar a licitação.</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jc w:val="both"/>
        <w:rPr>
          <w:rFonts w:ascii="Arial" w:hAnsi="Arial" w:eastAsia="Arial" w:cs="Arial"/>
          <w:b/>
          <w:color w:val="000000"/>
        </w:rPr>
      </w:pPr>
      <w:r>
        <w:rPr>
          <w:rFonts w:eastAsia="Arial" w:cs="Arial" w:ascii="Arial" w:hAnsi="Arial"/>
          <w:b/>
          <w:color w:val="000000"/>
        </w:rPr>
        <w:t>- DO JULGAMENTO DAS PROPOSTAS E HABILITAÇÃO</w:t>
      </w:r>
    </w:p>
    <w:p>
      <w:pPr>
        <w:pStyle w:val="normal11"/>
        <w:numPr>
          <w:ilvl w:val="1"/>
          <w:numId w:val="18"/>
        </w:numPr>
        <w:pBdr/>
        <w:tabs>
          <w:tab w:val="clear" w:pos="720"/>
          <w:tab w:val="left" w:pos="724" w:leader="none"/>
        </w:tabs>
        <w:spacing w:lineRule="auto" w:line="360"/>
        <w:ind w:right="250"/>
        <w:jc w:val="both"/>
        <w:rPr>
          <w:rFonts w:ascii="Arial" w:hAnsi="Arial" w:eastAsia="Arial" w:cs="Arial"/>
          <w:b/>
          <w:color w:val="000000"/>
        </w:rPr>
      </w:pPr>
      <w:r>
        <w:rPr>
          <w:rFonts w:eastAsia="Arial" w:cs="Arial" w:ascii="Arial" w:hAnsi="Arial"/>
          <w:b/>
          <w:color w:val="000000"/>
        </w:rPr>
        <w:t xml:space="preserve">10.1. </w:t>
      </w:r>
      <w:r>
        <w:rPr>
          <w:rFonts w:eastAsia="Arial" w:cs="Arial" w:ascii="Arial" w:hAnsi="Arial"/>
          <w:color w:val="000000"/>
        </w:rPr>
        <w:t xml:space="preserve">O Agente de Contratação efetuará o julgamento das propostas pelo critério de </w:t>
      </w:r>
      <w:r>
        <w:rPr>
          <w:rFonts w:eastAsia="Arial" w:cs="Arial" w:ascii="Arial" w:hAnsi="Arial"/>
          <w:b/>
          <w:color w:val="000000"/>
        </w:rPr>
        <w:t>MENOR PREÇO GLOBAL</w:t>
      </w:r>
    </w:p>
    <w:p>
      <w:pPr>
        <w:pStyle w:val="normal11"/>
        <w:numPr>
          <w:ilvl w:val="1"/>
          <w:numId w:val="18"/>
        </w:numPr>
        <w:pBdr/>
        <w:tabs>
          <w:tab w:val="clear" w:pos="720"/>
          <w:tab w:val="left" w:pos="755" w:leader="none"/>
        </w:tabs>
        <w:spacing w:lineRule="auto" w:line="360"/>
        <w:ind w:right="250"/>
        <w:jc w:val="both"/>
        <w:rPr>
          <w:rFonts w:ascii="Arial" w:hAnsi="Arial" w:eastAsia="Arial" w:cs="Arial"/>
          <w:color w:val="000000"/>
        </w:rPr>
      </w:pPr>
      <w:r>
        <w:rPr>
          <w:rFonts w:eastAsia="Arial" w:cs="Arial" w:ascii="Arial" w:hAnsi="Arial"/>
          <w:b/>
          <w:color w:val="000000"/>
        </w:rPr>
        <w:t xml:space="preserve">10.2. </w:t>
      </w:r>
      <w:r>
        <w:rPr>
          <w:rFonts w:eastAsia="Arial" w:cs="Arial" w:ascii="Arial" w:hAnsi="Arial"/>
          <w:color w:val="000000"/>
        </w:rPr>
        <w:t>A licitação será processada e julgada em consonância com a legislação constante no preâmbulo deste Edital e com os procedimentos previstos na Lei Complementar n° 123/06 e alterações posteriores.</w:t>
      </w:r>
    </w:p>
    <w:p>
      <w:pPr>
        <w:pStyle w:val="normal11"/>
        <w:numPr>
          <w:ilvl w:val="1"/>
          <w:numId w:val="18"/>
        </w:numPr>
        <w:pBdr/>
        <w:tabs>
          <w:tab w:val="clear" w:pos="720"/>
          <w:tab w:val="left" w:pos="801" w:leader="none"/>
        </w:tabs>
        <w:spacing w:lineRule="auto" w:line="360"/>
        <w:ind w:right="250"/>
        <w:jc w:val="both"/>
        <w:rPr>
          <w:rFonts w:ascii="Arial" w:hAnsi="Arial" w:eastAsia="Arial" w:cs="Arial"/>
          <w:color w:val="000000"/>
        </w:rPr>
      </w:pPr>
      <w:r>
        <w:rPr>
          <w:rFonts w:eastAsia="Arial" w:cs="Arial" w:ascii="Arial" w:hAnsi="Arial"/>
          <w:b/>
          <w:color w:val="000000"/>
        </w:rPr>
        <w:t xml:space="preserve">10.3. </w:t>
      </w:r>
      <w:r>
        <w:rPr>
          <w:rFonts w:eastAsia="Arial" w:cs="Arial" w:ascii="Arial" w:hAnsi="Arial"/>
          <w:color w:val="000000"/>
        </w:rPr>
        <w:t>Encerrada a etapa de lances, o Agente de Contratação encaminhará, pelo sistema eletrônico, contraproposta diretamente ao proponente que tenha apresentado o melhor preço, para que seja obtida melhor proposta.</w:t>
      </w:r>
    </w:p>
    <w:p>
      <w:pPr>
        <w:pStyle w:val="normal11"/>
        <w:numPr>
          <w:ilvl w:val="2"/>
          <w:numId w:val="18"/>
        </w:numPr>
        <w:pBdr/>
        <w:tabs>
          <w:tab w:val="clear" w:pos="720"/>
          <w:tab w:val="left" w:pos="908" w:leader="none"/>
        </w:tabs>
        <w:spacing w:lineRule="auto" w:line="360"/>
        <w:ind w:right="250"/>
        <w:jc w:val="both"/>
        <w:rPr>
          <w:rFonts w:ascii="Arial" w:hAnsi="Arial" w:eastAsia="Arial" w:cs="Arial"/>
          <w:color w:val="000000"/>
        </w:rPr>
      </w:pPr>
      <w:r>
        <w:rPr>
          <w:rFonts w:eastAsia="Arial" w:cs="Arial" w:ascii="Arial" w:hAnsi="Arial"/>
          <w:b/>
          <w:color w:val="000000"/>
        </w:rPr>
        <w:t>10.4.</w:t>
      </w:r>
      <w:r>
        <w:rPr>
          <w:rFonts w:eastAsia="Arial" w:cs="Arial" w:ascii="Arial" w:hAnsi="Arial"/>
          <w:color w:val="000000"/>
        </w:rPr>
        <w:t xml:space="preserve"> O proponente deverá se manifestar até o prazo para apresentação da proposta, nos termos do subitem 7.2 do edital.</w:t>
      </w:r>
    </w:p>
    <w:p>
      <w:pPr>
        <w:pStyle w:val="normal11"/>
        <w:numPr>
          <w:ilvl w:val="1"/>
          <w:numId w:val="18"/>
        </w:numPr>
        <w:pBdr/>
        <w:tabs>
          <w:tab w:val="clear" w:pos="720"/>
          <w:tab w:val="left" w:pos="786" w:leader="none"/>
        </w:tabs>
        <w:spacing w:lineRule="auto" w:line="360"/>
        <w:ind w:right="250"/>
        <w:jc w:val="both"/>
        <w:rPr>
          <w:rFonts w:ascii="Arial" w:hAnsi="Arial" w:eastAsia="Arial" w:cs="Arial"/>
          <w:color w:val="000000"/>
        </w:rPr>
      </w:pPr>
      <w:r>
        <w:rPr>
          <w:rFonts w:eastAsia="Arial" w:cs="Arial" w:ascii="Arial" w:hAnsi="Arial"/>
          <w:b/>
          <w:color w:val="000000"/>
        </w:rPr>
        <w:t xml:space="preserve">10.5. </w:t>
      </w:r>
      <w:r>
        <w:rPr>
          <w:rFonts w:eastAsia="Arial" w:cs="Arial" w:ascii="Arial" w:hAnsi="Arial"/>
          <w:color w:val="000000"/>
        </w:rPr>
        <w:t>Os preços ofertados, tanto na proposta inicial quanto na etapa de lances, serão de exclusiva responsabilidade do proponente, não lhe assistindo o direito de pleitear qualquer alteração sob alegação de erro, omissão ou qualquer outro pretexto.</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10.6. </w:t>
      </w:r>
      <w:r>
        <w:rPr>
          <w:rFonts w:eastAsia="Arial" w:cs="Arial" w:ascii="Arial" w:hAnsi="Arial"/>
          <w:color w:val="000000"/>
        </w:rPr>
        <w:t>O Agente de Contratação irá decidir sobre a aceitação da proposta, observados prazos para execução, especificações técnicas e demais condições definidas neste Edital, e verificará a habilitação do proponente.</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10.7.</w:t>
      </w:r>
      <w:r>
        <w:rPr>
          <w:rFonts w:eastAsia="Arial" w:cs="Arial" w:ascii="Arial" w:hAnsi="Arial"/>
          <w:color w:val="000000"/>
        </w:rPr>
        <w:t xml:space="preserve"> Após encerrada a etapa competitiva, e verificada a ausência da proposta de preços e dos documentos de habilitação, conforme o subitem 7.2 e 9.1, será considerado como desistência do lance ofertado, sujeitando-se o proponente desistente às penalidades constantes no </w:t>
      </w:r>
      <w:r>
        <w:rPr>
          <w:rFonts w:eastAsia="Arial" w:cs="Arial" w:ascii="Arial" w:hAnsi="Arial"/>
          <w:b/>
          <w:color w:val="000000"/>
        </w:rPr>
        <w:t xml:space="preserve">item 20 </w:t>
      </w:r>
      <w:r>
        <w:rPr>
          <w:rFonts w:eastAsia="Arial" w:cs="Arial" w:ascii="Arial" w:hAnsi="Arial"/>
          <w:color w:val="000000"/>
        </w:rPr>
        <w:t>do Edital.</w:t>
      </w:r>
    </w:p>
    <w:p>
      <w:pPr>
        <w:pStyle w:val="normal11"/>
        <w:numPr>
          <w:ilvl w:val="1"/>
          <w:numId w:val="18"/>
        </w:numPr>
        <w:pBdr/>
        <w:tabs>
          <w:tab w:val="clear" w:pos="720"/>
          <w:tab w:val="left" w:pos="730" w:leader="none"/>
        </w:tabs>
        <w:spacing w:lineRule="auto" w:line="360"/>
        <w:ind w:right="250"/>
        <w:jc w:val="both"/>
        <w:rPr>
          <w:rFonts w:ascii="Arial" w:hAnsi="Arial" w:eastAsia="Arial" w:cs="Arial"/>
          <w:color w:val="000000"/>
        </w:rPr>
      </w:pPr>
      <w:r>
        <w:rPr>
          <w:rFonts w:eastAsia="Arial" w:cs="Arial" w:ascii="Arial" w:hAnsi="Arial"/>
          <w:b/>
          <w:color w:val="000000"/>
        </w:rPr>
        <w:t>10.8.</w:t>
      </w:r>
      <w:r>
        <w:rPr>
          <w:rFonts w:eastAsia="Arial" w:cs="Arial" w:ascii="Arial" w:hAnsi="Arial"/>
          <w:color w:val="000000"/>
        </w:rPr>
        <w:t xml:space="preserve"> Se a proposta não atender às especificações técnicas e às condições mínimas de habilitação, o Agente de Contratação examinará a proposta subsequente, verificando a sua aceitabilidade e procedendo à sua habilitação, na ordem de classificação, e assim sucessivamente, até a apuração de uma proposta que atenda ao Edital, sendo o respectivo proponente declarado vencedor.</w:t>
      </w:r>
    </w:p>
    <w:p>
      <w:pPr>
        <w:pStyle w:val="normal11"/>
        <w:numPr>
          <w:ilvl w:val="1"/>
          <w:numId w:val="18"/>
        </w:numPr>
        <w:pBdr/>
        <w:tabs>
          <w:tab w:val="clear" w:pos="720"/>
          <w:tab w:val="left" w:pos="801" w:leader="none"/>
        </w:tabs>
        <w:spacing w:lineRule="auto" w:line="360"/>
        <w:ind w:right="250"/>
        <w:jc w:val="both"/>
        <w:rPr>
          <w:rFonts w:ascii="Arial" w:hAnsi="Arial" w:eastAsia="Arial" w:cs="Arial"/>
          <w:color w:val="000000"/>
        </w:rPr>
      </w:pPr>
      <w:r>
        <w:rPr>
          <w:rFonts w:eastAsia="Arial" w:cs="Arial" w:ascii="Arial" w:hAnsi="Arial"/>
          <w:b/>
          <w:color w:val="000000"/>
        </w:rPr>
        <w:t xml:space="preserve">10.9. </w:t>
      </w:r>
      <w:r>
        <w:rPr>
          <w:rFonts w:eastAsia="Arial" w:cs="Arial" w:ascii="Arial" w:hAnsi="Arial"/>
          <w:color w:val="000000"/>
          <w:u w:val="single"/>
        </w:rPr>
        <w:t>O representante legal do proponente que subscrever os documentos apresentados deve estar</w:t>
      </w:r>
      <w:r>
        <w:rPr>
          <w:rFonts w:eastAsia="Arial" w:cs="Arial" w:ascii="Arial" w:hAnsi="Arial"/>
          <w:color w:val="000000"/>
        </w:rPr>
        <w:t xml:space="preserve"> </w:t>
      </w:r>
      <w:r>
        <w:rPr>
          <w:rFonts w:eastAsia="Arial" w:cs="Arial" w:ascii="Arial" w:hAnsi="Arial"/>
          <w:color w:val="000000"/>
          <w:u w:val="single"/>
        </w:rPr>
        <w:t>devidamente identificado no processo, apresentando documento de identidade.</w:t>
      </w:r>
    </w:p>
    <w:p>
      <w:pPr>
        <w:pStyle w:val="normal11"/>
        <w:numPr>
          <w:ilvl w:val="2"/>
          <w:numId w:val="18"/>
        </w:numPr>
        <w:pBdr/>
        <w:tabs>
          <w:tab w:val="clear" w:pos="720"/>
          <w:tab w:val="left" w:pos="924" w:leader="none"/>
        </w:tabs>
        <w:spacing w:lineRule="auto" w:line="360"/>
        <w:ind w:right="250"/>
        <w:jc w:val="both"/>
        <w:rPr>
          <w:rFonts w:ascii="Arial" w:hAnsi="Arial" w:eastAsia="Arial" w:cs="Arial"/>
          <w:color w:val="000000"/>
        </w:rPr>
      </w:pPr>
      <w:r>
        <w:rPr>
          <w:rFonts w:eastAsia="Arial" w:cs="Arial" w:ascii="Arial" w:hAnsi="Arial"/>
          <w:b/>
          <w:color w:val="000000"/>
        </w:rPr>
        <w:t>10.10.</w:t>
      </w:r>
      <w:r>
        <w:rPr>
          <w:rFonts w:eastAsia="Arial" w:cs="Arial" w:ascii="Arial" w:hAnsi="Arial"/>
          <w:b/>
          <w:color w:val="000000"/>
          <w:u w:val="single"/>
        </w:rPr>
        <w:t xml:space="preserve"> </w:t>
      </w:r>
      <w:r>
        <w:rPr>
          <w:rFonts w:eastAsia="Arial" w:cs="Arial" w:ascii="Arial" w:hAnsi="Arial"/>
          <w:color w:val="000000"/>
          <w:u w:val="single"/>
        </w:rPr>
        <w:t>Nenhuma pessoa, ainda que munida de procuração, poderá representar mais de uma empresa no(s)</w:t>
      </w:r>
      <w:r>
        <w:rPr>
          <w:rFonts w:eastAsia="Arial" w:cs="Arial" w:ascii="Arial" w:hAnsi="Arial"/>
          <w:color w:val="000000"/>
        </w:rPr>
        <w:t xml:space="preserve"> </w:t>
      </w:r>
      <w:r>
        <w:rPr>
          <w:rFonts w:eastAsia="Arial" w:cs="Arial" w:ascii="Arial" w:hAnsi="Arial"/>
          <w:color w:val="000000"/>
          <w:u w:val="single"/>
        </w:rPr>
        <w:t>mesmo(s) item(ns)/lote(s) deste processo, sob pena de exclusão sumária de ambos os proponentes</w:t>
      </w:r>
      <w:r>
        <w:rPr>
          <w:rFonts w:eastAsia="Arial" w:cs="Arial" w:ascii="Arial" w:hAnsi="Arial"/>
          <w:color w:val="000000"/>
        </w:rPr>
        <w:t xml:space="preserve"> </w:t>
      </w:r>
      <w:r>
        <w:rPr>
          <w:rFonts w:eastAsia="Arial" w:cs="Arial" w:ascii="Arial" w:hAnsi="Arial"/>
          <w:color w:val="000000"/>
          <w:u w:val="single"/>
        </w:rPr>
        <w:t>representados.</w:t>
      </w:r>
    </w:p>
    <w:p>
      <w:pPr>
        <w:pStyle w:val="normal11"/>
        <w:numPr>
          <w:ilvl w:val="1"/>
          <w:numId w:val="18"/>
        </w:numPr>
        <w:pBdr/>
        <w:tabs>
          <w:tab w:val="clear" w:pos="720"/>
          <w:tab w:val="left" w:pos="724" w:leader="none"/>
        </w:tabs>
        <w:spacing w:lineRule="auto" w:line="360"/>
        <w:ind w:right="250"/>
        <w:rPr>
          <w:rFonts w:ascii="Arial" w:hAnsi="Arial" w:eastAsia="Arial" w:cs="Arial"/>
          <w:b/>
          <w:color w:val="000000"/>
        </w:rPr>
      </w:pPr>
      <w:r>
        <w:rPr>
          <w:rFonts w:eastAsia="Arial" w:cs="Arial" w:ascii="Arial" w:hAnsi="Arial"/>
          <w:b/>
          <w:color w:val="000000"/>
        </w:rPr>
        <w:t>10.11. Serão desclassificadas as propostas:</w:t>
      </w:r>
    </w:p>
    <w:p>
      <w:pPr>
        <w:pStyle w:val="normal11"/>
        <w:numPr>
          <w:ilvl w:val="0"/>
          <w:numId w:val="20"/>
        </w:numPr>
        <w:pBdr/>
        <w:tabs>
          <w:tab w:val="clear" w:pos="720"/>
          <w:tab w:val="left" w:pos="494"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que não atenderem às especificações/descrição do objeto desta licitação;</w:t>
      </w:r>
    </w:p>
    <w:p>
      <w:pPr>
        <w:pStyle w:val="normal11"/>
        <w:numPr>
          <w:ilvl w:val="0"/>
          <w:numId w:val="20"/>
        </w:numPr>
        <w:pBdr/>
        <w:tabs>
          <w:tab w:val="clear" w:pos="720"/>
          <w:tab w:val="left" w:pos="514"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que forem omissas ou se apresentarem incompletas ou não informarem as características do bem cotado, impedindo sua identificação com o item licitado;</w:t>
      </w:r>
    </w:p>
    <w:p>
      <w:pPr>
        <w:pStyle w:val="normal11"/>
        <w:numPr>
          <w:ilvl w:val="0"/>
          <w:numId w:val="20"/>
        </w:numPr>
        <w:pBdr/>
        <w:tabs>
          <w:tab w:val="clear" w:pos="720"/>
          <w:tab w:val="left" w:pos="478" w:leader="none"/>
        </w:tabs>
        <w:spacing w:lineRule="auto" w:line="360"/>
        <w:ind w:hanging="0" w:left="0" w:right="250"/>
        <w:jc w:val="both"/>
        <w:rPr>
          <w:rFonts w:ascii="Arial" w:hAnsi="Arial" w:eastAsia="Arial" w:cs="Arial"/>
          <w:color w:val="000000"/>
        </w:rPr>
      </w:pPr>
      <w:r>
        <w:rPr>
          <w:rFonts w:eastAsia="Arial" w:cs="Arial" w:ascii="Arial" w:hAnsi="Arial"/>
          <w:color w:val="000000"/>
        </w:rPr>
        <w:t>que conflitarem com a legislação em vigor;</w:t>
      </w:r>
    </w:p>
    <w:p>
      <w:pPr>
        <w:pStyle w:val="normal11"/>
        <w:numPr>
          <w:ilvl w:val="0"/>
          <w:numId w:val="20"/>
        </w:numPr>
        <w:pBdr/>
        <w:tabs>
          <w:tab w:val="clear" w:pos="720"/>
          <w:tab w:val="left" w:pos="494" w:leader="none"/>
        </w:tabs>
        <w:spacing w:lineRule="auto" w:line="360"/>
        <w:ind w:hanging="0" w:left="0" w:right="250"/>
        <w:jc w:val="both"/>
        <w:rPr>
          <w:rFonts w:ascii="Arial" w:hAnsi="Arial" w:eastAsia="Arial" w:cs="Arial"/>
          <w:color w:val="000000"/>
        </w:rPr>
      </w:pPr>
      <w:r>
        <w:rPr>
          <w:rFonts w:eastAsia="Arial" w:cs="Arial" w:ascii="Arial" w:hAnsi="Arial"/>
          <w:color w:val="000000"/>
        </w:rPr>
        <w:t>que deixarem de atender aos requisitos estabelecidos nos itens 6, 7 ou 9 deste Edital;</w:t>
      </w:r>
    </w:p>
    <w:p>
      <w:pPr>
        <w:pStyle w:val="normal11"/>
        <w:numPr>
          <w:ilvl w:val="0"/>
          <w:numId w:val="20"/>
        </w:numPr>
        <w:pBdr/>
        <w:tabs>
          <w:tab w:val="clear" w:pos="720"/>
          <w:tab w:val="left" w:pos="494" w:leader="none"/>
        </w:tabs>
        <w:spacing w:lineRule="auto" w:line="360"/>
        <w:ind w:hanging="0" w:left="0" w:right="250"/>
        <w:jc w:val="both"/>
        <w:rPr>
          <w:rFonts w:ascii="Arial" w:hAnsi="Arial" w:eastAsia="Arial" w:cs="Arial"/>
          <w:color w:val="000000"/>
        </w:rPr>
      </w:pPr>
      <w:r>
        <w:rPr>
          <w:rFonts w:eastAsia="Arial" w:cs="Arial" w:ascii="Arial" w:hAnsi="Arial"/>
          <w:color w:val="000000"/>
        </w:rPr>
        <w:t>com valores unitários ou globais superiores ao limite estabelecido ou com preços manifestamente inexequíveis, assim considerados aqueles que não venham a ter demonstrado sua viabilidade através de documentação que comprove que os custos dos insumos são coerentes com os de mercado e que os coeficientes de produtividade são compatíveis com a execução do objeto do contrato.</w:t>
      </w:r>
    </w:p>
    <w:p>
      <w:pPr>
        <w:pStyle w:val="normal11"/>
        <w:numPr>
          <w:ilvl w:val="0"/>
          <w:numId w:val="20"/>
        </w:numPr>
        <w:pBdr/>
        <w:tabs>
          <w:tab w:val="clear" w:pos="720"/>
          <w:tab w:val="left" w:pos="494" w:leader="none"/>
        </w:tabs>
        <w:spacing w:lineRule="auto" w:line="360"/>
        <w:ind w:hanging="0" w:left="0" w:right="250"/>
        <w:jc w:val="both"/>
        <w:rPr>
          <w:rFonts w:ascii="Arial" w:hAnsi="Arial" w:eastAsia="Arial" w:cs="Arial"/>
        </w:rPr>
      </w:pPr>
      <w:r>
        <w:rPr>
          <w:rFonts w:eastAsia="Arial" w:cs="Arial" w:ascii="Arial" w:hAnsi="Arial"/>
        </w:rPr>
        <w:t>que identifique o licitante, por meio de marca ou qualquer outro descritivo.</w:t>
      </w:r>
    </w:p>
    <w:p>
      <w:pPr>
        <w:pStyle w:val="normal11"/>
        <w:numPr>
          <w:ilvl w:val="1"/>
          <w:numId w:val="18"/>
        </w:numPr>
        <w:pBdr/>
        <w:tabs>
          <w:tab w:val="clear" w:pos="720"/>
          <w:tab w:val="left" w:pos="847" w:leader="none"/>
        </w:tabs>
        <w:spacing w:lineRule="auto" w:line="360"/>
        <w:ind w:right="250"/>
        <w:jc w:val="both"/>
        <w:rPr>
          <w:rFonts w:ascii="Arial" w:hAnsi="Arial" w:eastAsia="Arial" w:cs="Arial"/>
          <w:color w:val="000000"/>
        </w:rPr>
      </w:pPr>
      <w:r>
        <w:rPr>
          <w:rFonts w:eastAsia="Arial" w:cs="Arial" w:ascii="Arial" w:hAnsi="Arial"/>
          <w:b/>
          <w:color w:val="000000"/>
        </w:rPr>
        <w:t xml:space="preserve">10.12. </w:t>
      </w:r>
      <w:r>
        <w:rPr>
          <w:rFonts w:eastAsia="Arial" w:cs="Arial" w:ascii="Arial" w:hAnsi="Arial"/>
          <w:color w:val="000000"/>
        </w:rPr>
        <w:t xml:space="preserve">Se o proponente vencedor, convocado dentro do prazo de validade da sua proposta, não apresentar situação regular, estará sujeito às penalidades previstas no </w:t>
      </w:r>
      <w:r>
        <w:rPr>
          <w:rFonts w:eastAsia="Arial" w:cs="Arial" w:ascii="Arial" w:hAnsi="Arial"/>
          <w:b/>
          <w:color w:val="000000"/>
        </w:rPr>
        <w:t xml:space="preserve">item 20 </w:t>
      </w:r>
      <w:r>
        <w:rPr>
          <w:rFonts w:eastAsia="Arial" w:cs="Arial" w:ascii="Arial" w:hAnsi="Arial"/>
          <w:color w:val="000000"/>
        </w:rPr>
        <w:t>deste Edital. Neste caso, o Agente de Contratação examinará as ofertas subsequentes, e a habilitação dos proponentes, observada a ordem de classificação, até a apuração de uma que atenda ao Edital, sendo o respectivo proponente convocado para negociar redução do preço ofertado.</w:t>
      </w:r>
    </w:p>
    <w:p>
      <w:pPr>
        <w:pStyle w:val="normal11"/>
        <w:numPr>
          <w:ilvl w:val="1"/>
          <w:numId w:val="18"/>
        </w:numPr>
        <w:pBdr/>
        <w:tabs>
          <w:tab w:val="clear" w:pos="720"/>
          <w:tab w:val="left" w:pos="847" w:leader="none"/>
        </w:tabs>
        <w:spacing w:lineRule="auto" w:line="360"/>
        <w:ind w:right="250"/>
        <w:jc w:val="both"/>
        <w:rPr>
          <w:rFonts w:ascii="Arial" w:hAnsi="Arial" w:eastAsia="Arial" w:cs="Arial"/>
          <w:color w:val="000000"/>
        </w:rPr>
      </w:pPr>
      <w:r>
        <w:rPr>
          <w:rFonts w:eastAsia="Arial" w:cs="Arial" w:ascii="Arial" w:hAnsi="Arial"/>
          <w:b/>
          <w:color w:val="000000"/>
        </w:rPr>
        <w:t xml:space="preserve">10.13. </w:t>
      </w:r>
      <w:r>
        <w:rPr>
          <w:rFonts w:eastAsia="Arial" w:cs="Arial" w:ascii="Arial" w:hAnsi="Arial"/>
          <w:color w:val="000000"/>
        </w:rPr>
        <w:t>Decorrido o prazo de validade das propostas, sem convocação para a contratação, ficam os proponentes liberados dos compromissos assumidos.</w:t>
      </w:r>
    </w:p>
    <w:p>
      <w:pPr>
        <w:pStyle w:val="normal11"/>
        <w:numPr>
          <w:ilvl w:val="1"/>
          <w:numId w:val="18"/>
        </w:numPr>
        <w:pBdr/>
        <w:tabs>
          <w:tab w:val="clear" w:pos="720"/>
          <w:tab w:val="left" w:pos="847" w:leader="none"/>
        </w:tabs>
        <w:spacing w:lineRule="auto" w:line="360"/>
        <w:ind w:right="250"/>
        <w:jc w:val="both"/>
        <w:rPr>
          <w:rFonts w:ascii="Arial" w:hAnsi="Arial" w:eastAsia="Arial" w:cs="Arial"/>
          <w:color w:val="000000"/>
        </w:rPr>
      </w:pPr>
      <w:r>
        <w:rPr>
          <w:rFonts w:eastAsia="Arial" w:cs="Arial" w:ascii="Arial" w:hAnsi="Arial"/>
          <w:b/>
          <w:color w:val="000000"/>
        </w:rPr>
        <w:t xml:space="preserve">10.14. </w:t>
      </w:r>
      <w:r>
        <w:rPr>
          <w:rFonts w:eastAsia="Arial" w:cs="Arial" w:ascii="Arial" w:hAnsi="Arial"/>
          <w:color w:val="000000"/>
        </w:rPr>
        <w:t>No julgamento das propostas e na fase de habilitação o Agente de Contratação poderá sanar erros ou falhas que não alterem a substância das propostas e dos documentos e a sua validade jurídica, mediante despacho fundamentado, registrado em ata e acessível a todos, atribuindo-lhes validade e eficácia para fins de classificação e habilitação.</w:t>
      </w:r>
    </w:p>
    <w:p>
      <w:pPr>
        <w:pStyle w:val="normal11"/>
        <w:numPr>
          <w:ilvl w:val="1"/>
          <w:numId w:val="18"/>
        </w:numPr>
        <w:pBdr/>
        <w:tabs>
          <w:tab w:val="clear" w:pos="720"/>
          <w:tab w:val="left" w:pos="847" w:leader="none"/>
        </w:tabs>
        <w:spacing w:lineRule="auto" w:line="360"/>
        <w:ind w:right="250"/>
        <w:jc w:val="both"/>
        <w:rPr>
          <w:rFonts w:ascii="Arial" w:hAnsi="Arial" w:eastAsia="Arial" w:cs="Arial"/>
          <w:color w:val="000000"/>
        </w:rPr>
      </w:pPr>
      <w:r>
        <w:rPr>
          <w:rFonts w:eastAsia="Arial" w:cs="Arial" w:ascii="Arial" w:hAnsi="Arial"/>
          <w:b/>
          <w:color w:val="000000"/>
        </w:rPr>
        <w:t>10.15.</w:t>
      </w:r>
      <w:r>
        <w:rPr>
          <w:rFonts w:eastAsia="Arial" w:cs="Arial" w:ascii="Arial" w:hAnsi="Arial"/>
          <w:color w:val="000000"/>
        </w:rPr>
        <w:t xml:space="preserve"> O Agente de Contratação poderá, durante a sessão, verificar a regularidade dos documentos disponíveis para consulta on-line exigidos no subitem 9.</w:t>
      </w:r>
      <w:r>
        <w:rPr>
          <w:rFonts w:eastAsia="Arial" w:cs="Arial" w:ascii="Arial" w:hAnsi="Arial"/>
        </w:rPr>
        <w:t>5</w:t>
      </w:r>
      <w:r>
        <w:rPr>
          <w:rFonts w:eastAsia="Arial" w:cs="Arial" w:ascii="Arial" w:hAnsi="Arial"/>
          <w:color w:val="000000"/>
        </w:rPr>
        <w:t xml:space="preserve"> que não forem previamente apresentada(s) pelo(s) proponente(s) ou que forem apresentados vencidos ou positivos.</w:t>
      </w:r>
    </w:p>
    <w:p>
      <w:pPr>
        <w:pStyle w:val="normal11"/>
        <w:numPr>
          <w:ilvl w:val="2"/>
          <w:numId w:val="18"/>
        </w:numPr>
        <w:pBdr/>
        <w:tabs>
          <w:tab w:val="clear" w:pos="720"/>
          <w:tab w:val="left" w:pos="1047" w:leader="none"/>
        </w:tabs>
        <w:spacing w:lineRule="auto" w:line="360"/>
        <w:ind w:right="250"/>
        <w:jc w:val="both"/>
        <w:rPr>
          <w:rFonts w:ascii="Arial" w:hAnsi="Arial" w:eastAsia="Arial" w:cs="Arial"/>
          <w:color w:val="000000"/>
        </w:rPr>
      </w:pPr>
      <w:r>
        <w:rPr>
          <w:rFonts w:eastAsia="Arial" w:cs="Arial" w:ascii="Arial" w:hAnsi="Arial"/>
          <w:b/>
          <w:color w:val="000000"/>
        </w:rPr>
        <w:t>10.16.</w:t>
      </w:r>
      <w:r>
        <w:rPr>
          <w:rFonts w:eastAsia="Arial" w:cs="Arial" w:ascii="Arial" w:hAnsi="Arial"/>
          <w:color w:val="000000"/>
        </w:rPr>
        <w:t xml:space="preserve"> No momento da verificação, se o sistema estiver indisponível, ficará(ão) o(s) proponente(s) com o ônus de não ter(em) apresentado o documento ou ter(em) apresentado com restrição.</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DAS IMPUGNAÇÕES E DOS RECURSOS ADMINISTRATIVOS</w:t>
      </w:r>
    </w:p>
    <w:p>
      <w:pPr>
        <w:pStyle w:val="normal11"/>
        <w:numPr>
          <w:ilvl w:val="1"/>
          <w:numId w:val="18"/>
        </w:numPr>
        <w:pBdr/>
        <w:tabs>
          <w:tab w:val="clear" w:pos="720"/>
          <w:tab w:val="left" w:pos="764" w:leader="none"/>
        </w:tabs>
        <w:spacing w:lineRule="auto" w:line="360"/>
        <w:ind w:right="250"/>
        <w:jc w:val="both"/>
        <w:rPr>
          <w:rFonts w:ascii="Arial" w:hAnsi="Arial" w:eastAsia="Arial" w:cs="Arial"/>
          <w:color w:val="000000"/>
        </w:rPr>
      </w:pPr>
      <w:r>
        <w:rPr>
          <w:rFonts w:eastAsia="Arial" w:cs="Arial" w:ascii="Arial" w:hAnsi="Arial"/>
          <w:b/>
          <w:color w:val="000000"/>
        </w:rPr>
        <w:t>11.1.</w:t>
      </w:r>
      <w:r>
        <w:rPr>
          <w:rFonts w:eastAsia="Arial" w:cs="Arial" w:ascii="Arial" w:hAnsi="Arial"/>
          <w:color w:val="000000"/>
        </w:rPr>
        <w:t xml:space="preserve"> Qualquer pessoa poderá, até 03 (três) dias úteis anteriores à data fixada para abertura da sessão pública, impugnar os termos do Edital.</w:t>
      </w:r>
    </w:p>
    <w:p>
      <w:pPr>
        <w:pStyle w:val="normal11"/>
        <w:numPr>
          <w:ilvl w:val="2"/>
          <w:numId w:val="18"/>
        </w:numPr>
        <w:pBdr/>
        <w:tabs>
          <w:tab w:val="clear" w:pos="720"/>
          <w:tab w:val="left" w:pos="985" w:leader="none"/>
        </w:tabs>
        <w:spacing w:lineRule="auto" w:line="360"/>
        <w:ind w:right="250"/>
        <w:jc w:val="both"/>
        <w:rPr>
          <w:rFonts w:ascii="Arial" w:hAnsi="Arial" w:eastAsia="Arial" w:cs="Arial"/>
          <w:color w:val="000000"/>
        </w:rPr>
      </w:pPr>
      <w:r>
        <w:rPr>
          <w:rFonts w:eastAsia="Arial" w:cs="Arial" w:ascii="Arial" w:hAnsi="Arial"/>
          <w:b/>
          <w:color w:val="000000"/>
        </w:rPr>
        <w:t>11.2.</w:t>
      </w:r>
      <w:r>
        <w:rPr>
          <w:rFonts w:eastAsia="Arial" w:cs="Arial" w:ascii="Arial" w:hAnsi="Arial"/>
          <w:color w:val="000000"/>
        </w:rPr>
        <w:t xml:space="preserve"> As impugnações deverão ser protocoladas através do e-mail gerencialicitacao@pmf.sc.gov.br em documento digitalizado (PDF) devidamente assinado, até o vencimento do prazo, acompanhado da respectiva representatividade e, quando for o caso, de procuração.</w:t>
      </w:r>
    </w:p>
    <w:p>
      <w:pPr>
        <w:pStyle w:val="normal11"/>
        <w:numPr>
          <w:ilvl w:val="1"/>
          <w:numId w:val="18"/>
        </w:numPr>
        <w:pBdr/>
        <w:tabs>
          <w:tab w:val="clear" w:pos="720"/>
          <w:tab w:val="left" w:pos="737" w:leader="none"/>
        </w:tabs>
        <w:spacing w:lineRule="auto" w:line="360"/>
        <w:ind w:right="250"/>
        <w:jc w:val="both"/>
        <w:rPr>
          <w:rFonts w:ascii="Arial" w:hAnsi="Arial" w:eastAsia="Arial" w:cs="Arial"/>
          <w:color w:val="000000"/>
        </w:rPr>
      </w:pPr>
      <w:r>
        <w:rPr>
          <w:rFonts w:eastAsia="Arial" w:cs="Arial" w:ascii="Arial" w:hAnsi="Arial"/>
          <w:b/>
          <w:color w:val="000000"/>
        </w:rPr>
        <w:t>11.3.</w:t>
      </w:r>
      <w:r>
        <w:rPr>
          <w:rFonts w:eastAsia="Arial" w:cs="Arial" w:ascii="Arial" w:hAnsi="Arial"/>
          <w:color w:val="000000"/>
        </w:rPr>
        <w:t xml:space="preserve"> Não serão conhecidas as impugnações e os recursos apresentados fora do prazo legal e/ou subscritos por representante não habilitado legalmente ou não identificado no processo para responder pelo proponente.</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11.4.</w:t>
      </w:r>
      <w:r>
        <w:rPr>
          <w:rFonts w:eastAsia="Arial" w:cs="Arial" w:ascii="Arial" w:hAnsi="Arial"/>
          <w:color w:val="000000"/>
        </w:rPr>
        <w:t xml:space="preserve"> Caberá </w:t>
      </w:r>
      <w:r>
        <w:rPr>
          <w:rFonts w:eastAsia="Arial" w:cs="Arial" w:ascii="Arial" w:hAnsi="Arial"/>
        </w:rPr>
        <w:t>à autoridade</w:t>
      </w:r>
      <w:r>
        <w:rPr>
          <w:rFonts w:eastAsia="Arial" w:cs="Arial" w:ascii="Arial" w:hAnsi="Arial"/>
          <w:color w:val="000000"/>
        </w:rPr>
        <w:t xml:space="preserve"> superior, auxiliado pelo setor responsável pela elaboração do edital, decidir sobre as eventuais impugnações.</w:t>
      </w:r>
    </w:p>
    <w:p>
      <w:pPr>
        <w:pStyle w:val="normal11"/>
        <w:numPr>
          <w:ilvl w:val="1"/>
          <w:numId w:val="18"/>
        </w:numPr>
        <w:pBdr/>
        <w:tabs>
          <w:tab w:val="clear" w:pos="720"/>
          <w:tab w:val="left" w:pos="755" w:leader="none"/>
        </w:tabs>
        <w:spacing w:lineRule="auto" w:line="360"/>
        <w:ind w:right="250"/>
        <w:jc w:val="both"/>
        <w:rPr>
          <w:rFonts w:ascii="Arial" w:hAnsi="Arial" w:eastAsia="Arial" w:cs="Arial"/>
          <w:color w:val="000000"/>
        </w:rPr>
      </w:pPr>
      <w:r>
        <w:rPr>
          <w:rFonts w:eastAsia="Arial" w:cs="Arial" w:ascii="Arial" w:hAnsi="Arial"/>
          <w:b/>
          <w:color w:val="000000"/>
        </w:rPr>
        <w:t xml:space="preserve">11.5. </w:t>
      </w:r>
      <w:r>
        <w:rPr>
          <w:rFonts w:eastAsia="Arial" w:cs="Arial" w:ascii="Arial" w:hAnsi="Arial"/>
          <w:color w:val="000000"/>
        </w:rPr>
        <w:t>Acolhida a impugnação contra o presente Edital, será designada nova data para a realização do certame, exceto quando a alteração não afetar a formulação das propostas.</w:t>
      </w:r>
    </w:p>
    <w:p>
      <w:pPr>
        <w:pStyle w:val="normal11"/>
        <w:numPr>
          <w:ilvl w:val="1"/>
          <w:numId w:val="18"/>
        </w:numPr>
        <w:pBdr/>
        <w:shd w:val="clear" w:color="auto" w:fill="FFFFFF"/>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11.6. </w:t>
      </w:r>
      <w:r>
        <w:rPr>
          <w:rFonts w:eastAsia="Arial" w:cs="Arial" w:ascii="Arial" w:hAnsi="Arial"/>
          <w:color w:val="000000"/>
        </w:rPr>
        <w:t xml:space="preserve">As respostas às impugnações serão disponibilizadas no prazo de 03 (três) dias úteis, limitado ao último dia útil anterior à data da abertura do certame, contados do data de recebimento da impugnação e ficarão disponíveis  para  todos os  interessados  nos  endereços  eletrônicos: </w:t>
      </w:r>
      <w:hyperlink r:id="rId8">
        <w:r>
          <w:rPr>
            <w:rStyle w:val="Style3"/>
            <w:rFonts w:eastAsia="Arial" w:cs="Arial" w:ascii="Arial" w:hAnsi="Arial"/>
            <w:color w:val="000000"/>
            <w:u w:val="single"/>
          </w:rPr>
          <w:t>gerencialicitacao@pmf.sc.gov.br</w:t>
        </w:r>
      </w:hyperlink>
      <w:r>
        <w:rPr>
          <w:rFonts w:eastAsia="Arial" w:cs="Arial" w:ascii="Arial" w:hAnsi="Arial"/>
          <w:color w:val="000000"/>
        </w:rPr>
        <w:t xml:space="preserve">,  </w:t>
      </w:r>
      <w:hyperlink r:id="rId9">
        <w:r>
          <w:rPr>
            <w:rStyle w:val="Style3"/>
            <w:rFonts w:eastAsia="Arial" w:cs="Arial" w:ascii="Arial" w:hAnsi="Arial"/>
            <w:color w:val="000000"/>
          </w:rPr>
          <w:t>www.pmf.sc.gov.br</w:t>
        </w:r>
      </w:hyperlink>
      <w:r>
        <w:rPr>
          <w:rFonts w:eastAsia="Arial" w:cs="Arial" w:ascii="Arial" w:hAnsi="Arial"/>
          <w:color w:val="000000"/>
        </w:rPr>
        <w:t xml:space="preserve"> </w:t>
      </w:r>
      <w:r>
        <w:rPr>
          <w:rFonts w:eastAsia="Arial" w:cs="Arial" w:ascii="Arial" w:hAnsi="Arial"/>
          <w:color w:val="000000"/>
          <w:u w:val="single"/>
        </w:rPr>
        <w:t xml:space="preserve">e </w:t>
      </w:r>
      <w:hyperlink r:id="rId10">
        <w:r>
          <w:rPr>
            <w:rStyle w:val="Style3"/>
            <w:rFonts w:eastAsia="Arial" w:cs="Arial" w:ascii="Arial" w:hAnsi="Arial"/>
            <w:color w:val="000000"/>
            <w:u w:val="single"/>
          </w:rPr>
          <w:t>www.gov.br/compras/pt-br</w:t>
        </w:r>
      </w:hyperlink>
      <w:hyperlink r:id="rId11">
        <w:r>
          <w:rPr>
            <w:rStyle w:val="Style3"/>
            <w:rFonts w:eastAsia="Arial" w:cs="Arial" w:ascii="Arial" w:hAnsi="Arial"/>
            <w:color w:val="000000"/>
          </w:rPr>
          <w:t>.</w:t>
        </w:r>
      </w:hyperlink>
    </w:p>
    <w:p>
      <w:pPr>
        <w:pStyle w:val="normal11"/>
        <w:numPr>
          <w:ilvl w:val="1"/>
          <w:numId w:val="18"/>
        </w:numPr>
        <w:pBdr/>
        <w:shd w:val="clear" w:color="auto" w:fill="FFFFFF"/>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11.7. </w:t>
      </w:r>
      <w:r>
        <w:rPr>
          <w:rFonts w:eastAsia="Arial" w:cs="Arial" w:ascii="Arial" w:hAnsi="Arial"/>
          <w:color w:val="000000"/>
          <w:u w:val="single"/>
        </w:rPr>
        <w:t>Do Recurso</w:t>
      </w:r>
      <w:r>
        <w:rPr>
          <w:rFonts w:eastAsia="Arial" w:cs="Arial" w:ascii="Arial" w:hAnsi="Arial"/>
          <w:color w:val="000000"/>
        </w:rPr>
        <w:t>:</w:t>
      </w:r>
    </w:p>
    <w:p>
      <w:pPr>
        <w:pStyle w:val="normal11"/>
        <w:numPr>
          <w:ilvl w:val="2"/>
          <w:numId w:val="18"/>
        </w:numPr>
        <w:pBdr/>
        <w:shd w:val="clear" w:color="auto" w:fill="FFFFFF"/>
        <w:tabs>
          <w:tab w:val="clear" w:pos="720"/>
          <w:tab w:val="left" w:pos="960" w:leader="none"/>
        </w:tabs>
        <w:spacing w:lineRule="auto" w:line="360"/>
        <w:ind w:right="250"/>
        <w:jc w:val="both"/>
        <w:rPr>
          <w:rFonts w:ascii="Arial" w:hAnsi="Arial" w:eastAsia="Arial" w:cs="Arial"/>
          <w:color w:val="000000"/>
        </w:rPr>
      </w:pPr>
      <w:r>
        <w:rPr>
          <w:rFonts w:eastAsia="Arial" w:cs="Arial" w:ascii="Arial" w:hAnsi="Arial"/>
          <w:b/>
          <w:color w:val="000000"/>
        </w:rPr>
        <w:t>11.</w:t>
      </w:r>
      <w:r>
        <w:rPr>
          <w:rFonts w:eastAsia="Arial" w:cs="Arial" w:ascii="Arial" w:hAnsi="Arial"/>
          <w:b/>
        </w:rPr>
        <w:t>7.1</w:t>
      </w:r>
      <w:r>
        <w:rPr>
          <w:rFonts w:eastAsia="Arial" w:cs="Arial" w:ascii="Arial" w:hAnsi="Arial"/>
          <w:b/>
          <w:color w:val="000000"/>
        </w:rPr>
        <w:t>.</w:t>
      </w:r>
      <w:r>
        <w:rPr>
          <w:rFonts w:eastAsia="Arial" w:cs="Arial" w:ascii="Arial" w:hAnsi="Arial"/>
          <w:color w:val="000000"/>
        </w:rPr>
        <w:t xml:space="preserve"> Após declarado o vencedor, será concedido o prazo de 10 (dez) minutos para que qualquer proponente manifeste a intenção de recorrer, em campo próprio do sistema.</w:t>
      </w:r>
    </w:p>
    <w:p>
      <w:pPr>
        <w:pStyle w:val="normal11"/>
        <w:numPr>
          <w:ilvl w:val="2"/>
          <w:numId w:val="18"/>
        </w:numPr>
        <w:pBdr/>
        <w:shd w:val="clear" w:color="auto" w:fill="FFFFFF"/>
        <w:tabs>
          <w:tab w:val="clear" w:pos="720"/>
          <w:tab w:val="left" w:pos="976" w:leader="none"/>
        </w:tabs>
        <w:spacing w:lineRule="auto" w:line="360"/>
        <w:ind w:right="250"/>
        <w:jc w:val="both"/>
        <w:rPr>
          <w:rFonts w:ascii="Arial" w:hAnsi="Arial" w:eastAsia="Arial" w:cs="Arial"/>
          <w:color w:val="000000"/>
        </w:rPr>
      </w:pPr>
      <w:r>
        <w:rPr>
          <w:rFonts w:eastAsia="Arial" w:cs="Arial" w:ascii="Arial" w:hAnsi="Arial"/>
          <w:b/>
          <w:color w:val="000000"/>
        </w:rPr>
        <w:t>11.</w:t>
      </w:r>
      <w:r>
        <w:rPr>
          <w:rFonts w:eastAsia="Arial" w:cs="Arial" w:ascii="Arial" w:hAnsi="Arial"/>
          <w:b/>
        </w:rPr>
        <w:t>7.2</w:t>
      </w:r>
      <w:r>
        <w:rPr>
          <w:rFonts w:eastAsia="Arial" w:cs="Arial" w:ascii="Arial" w:hAnsi="Arial"/>
          <w:b/>
          <w:color w:val="000000"/>
        </w:rPr>
        <w:t>.</w:t>
      </w:r>
      <w:r>
        <w:rPr>
          <w:rFonts w:eastAsia="Arial" w:cs="Arial" w:ascii="Arial" w:hAnsi="Arial"/>
          <w:color w:val="000000"/>
        </w:rPr>
        <w:t xml:space="preserve"> A falta de manifestação motivada do proponente quanto à intenção de recorrer importará a decadência desse direito.</w:t>
      </w:r>
    </w:p>
    <w:p>
      <w:pPr>
        <w:pStyle w:val="normal11"/>
        <w:numPr>
          <w:ilvl w:val="2"/>
          <w:numId w:val="18"/>
        </w:numPr>
        <w:pBdr/>
        <w:shd w:val="clear" w:color="auto" w:fill="FFFFFF"/>
        <w:tabs>
          <w:tab w:val="clear" w:pos="720"/>
          <w:tab w:val="left" w:pos="920" w:leader="none"/>
        </w:tabs>
        <w:spacing w:lineRule="auto" w:line="360"/>
        <w:ind w:right="250"/>
        <w:jc w:val="both"/>
        <w:rPr>
          <w:rFonts w:ascii="Arial" w:hAnsi="Arial" w:eastAsia="Arial" w:cs="Arial"/>
          <w:b/>
          <w:color w:val="000000"/>
        </w:rPr>
      </w:pPr>
      <w:r>
        <w:rPr>
          <w:rFonts w:eastAsia="Arial" w:cs="Arial" w:ascii="Arial" w:hAnsi="Arial"/>
          <w:b/>
          <w:color w:val="000000"/>
        </w:rPr>
        <w:t>11.</w:t>
      </w:r>
      <w:r>
        <w:rPr>
          <w:rFonts w:eastAsia="Arial" w:cs="Arial" w:ascii="Arial" w:hAnsi="Arial"/>
          <w:b/>
        </w:rPr>
        <w:t>7.3</w:t>
      </w:r>
      <w:r>
        <w:rPr>
          <w:rFonts w:eastAsia="Arial" w:cs="Arial" w:ascii="Arial" w:hAnsi="Arial"/>
          <w:b/>
          <w:color w:val="000000"/>
        </w:rPr>
        <w:t>.</w:t>
      </w:r>
      <w:r>
        <w:rPr>
          <w:rFonts w:eastAsia="Arial" w:cs="Arial" w:ascii="Arial" w:hAnsi="Arial"/>
          <w:color w:val="000000"/>
        </w:rPr>
        <w:t xml:space="preserve"> Quando será concedido o prazo de 03 (três) dias para apresentação das razões de recurso, ficando os demais proponentes, desde logo, intimados para apresentarem contrarrazões em igual número de dias, que começarão a correr do término do prazo do recorrente, sendo-lhes assegurado vista imediata dos autos</w:t>
      </w:r>
      <w:r>
        <w:rPr>
          <w:rFonts w:eastAsia="Arial" w:cs="Arial" w:ascii="Arial" w:hAnsi="Arial"/>
          <w:b/>
          <w:color w:val="000000"/>
        </w:rPr>
        <w:t>.</w:t>
      </w:r>
    </w:p>
    <w:p>
      <w:pPr>
        <w:pStyle w:val="normal11"/>
        <w:numPr>
          <w:ilvl w:val="2"/>
          <w:numId w:val="18"/>
        </w:numPr>
        <w:pBdr/>
        <w:shd w:val="clear" w:color="auto" w:fill="FFFFFF"/>
        <w:tabs>
          <w:tab w:val="clear" w:pos="720"/>
          <w:tab w:val="left" w:pos="917" w:leader="none"/>
        </w:tabs>
        <w:spacing w:lineRule="auto" w:line="360"/>
        <w:ind w:right="250"/>
        <w:jc w:val="both"/>
        <w:rPr>
          <w:rFonts w:ascii="Arial" w:hAnsi="Arial" w:eastAsia="Arial" w:cs="Arial"/>
          <w:color w:val="000000"/>
        </w:rPr>
      </w:pPr>
      <w:r>
        <w:rPr>
          <w:rFonts w:eastAsia="Arial" w:cs="Arial" w:ascii="Arial" w:hAnsi="Arial"/>
          <w:b/>
          <w:color w:val="000000"/>
        </w:rPr>
        <w:t>11.</w:t>
      </w:r>
      <w:r>
        <w:rPr>
          <w:rFonts w:eastAsia="Arial" w:cs="Arial" w:ascii="Arial" w:hAnsi="Arial"/>
          <w:b/>
        </w:rPr>
        <w:t>7.4</w:t>
      </w:r>
      <w:r>
        <w:rPr>
          <w:rFonts w:eastAsia="Arial" w:cs="Arial" w:ascii="Arial" w:hAnsi="Arial"/>
          <w:b/>
          <w:color w:val="000000"/>
        </w:rPr>
        <w:t>.</w:t>
      </w:r>
      <w:r>
        <w:rPr>
          <w:rFonts w:eastAsia="Arial" w:cs="Arial" w:ascii="Arial" w:hAnsi="Arial"/>
          <w:color w:val="000000"/>
        </w:rPr>
        <w:t xml:space="preserve"> As razões de recursos e contrarrazões deverão ser protocolizadas através do </w:t>
      </w:r>
      <w:r>
        <w:rPr>
          <w:rFonts w:eastAsia="Arial" w:cs="Arial" w:ascii="Arial" w:hAnsi="Arial"/>
          <w:color w:val="000000"/>
          <w:u w:val="single"/>
        </w:rPr>
        <w:t>Portal de Compras do Governo Federa</w:t>
      </w:r>
      <w:r>
        <w:rPr>
          <w:rFonts w:eastAsia="Arial" w:cs="Arial" w:ascii="Arial" w:hAnsi="Arial"/>
          <w:color w:val="000000"/>
        </w:rPr>
        <w:t xml:space="preserve">l - </w:t>
      </w:r>
      <w:hyperlink r:id="rId12">
        <w:r>
          <w:rPr>
            <w:rStyle w:val="Style3"/>
            <w:rFonts w:eastAsia="Arial" w:cs="Arial" w:ascii="Arial" w:hAnsi="Arial"/>
            <w:color w:val="000000"/>
            <w:u w:val="single"/>
          </w:rPr>
          <w:t>www.gov.br/compras/pt-b</w:t>
        </w:r>
      </w:hyperlink>
      <w:r>
        <w:rPr>
          <w:rFonts w:eastAsia="Arial" w:cs="Arial" w:ascii="Arial" w:hAnsi="Arial"/>
          <w:color w:val="000000"/>
          <w:u w:val="single"/>
        </w:rPr>
        <w:t>r</w:t>
      </w:r>
      <w:r>
        <w:rPr>
          <w:rFonts w:eastAsia="Arial" w:cs="Arial" w:ascii="Arial" w:hAnsi="Arial"/>
          <w:color w:val="000000"/>
        </w:rPr>
        <w:t xml:space="preserve"> ou do e-mail </w:t>
      </w:r>
      <w:hyperlink r:id="rId13">
        <w:r>
          <w:rPr>
            <w:rStyle w:val="Style3"/>
            <w:rFonts w:eastAsia="Arial" w:cs="Arial" w:ascii="Arial" w:hAnsi="Arial"/>
            <w:color w:val="000000"/>
            <w:u w:val="single"/>
          </w:rPr>
          <w:t>gerencialicitacao@pmf.sc.gov.br</w:t>
        </w:r>
      </w:hyperlink>
      <w:r>
        <w:rPr>
          <w:rFonts w:eastAsia="Arial" w:cs="Arial" w:ascii="Arial" w:hAnsi="Arial"/>
          <w:color w:val="000000"/>
        </w:rPr>
        <w:t>, em documento digitalizado (PDF) devidamente assinado, acompanhado da respectiva representatividade e, quando for o caso, de procuração.</w:t>
      </w:r>
    </w:p>
    <w:p>
      <w:pPr>
        <w:pStyle w:val="normal11"/>
        <w:numPr>
          <w:ilvl w:val="2"/>
          <w:numId w:val="18"/>
        </w:numPr>
        <w:pBdr/>
        <w:shd w:val="clear" w:color="auto" w:fill="FFFFFF"/>
        <w:tabs>
          <w:tab w:val="clear" w:pos="720"/>
          <w:tab w:val="left" w:pos="927" w:leader="none"/>
        </w:tabs>
        <w:spacing w:lineRule="auto" w:line="360"/>
        <w:ind w:right="250"/>
        <w:jc w:val="both"/>
        <w:rPr>
          <w:rFonts w:ascii="Arial" w:hAnsi="Arial" w:eastAsia="Arial" w:cs="Arial"/>
          <w:color w:val="000000"/>
        </w:rPr>
      </w:pPr>
      <w:r>
        <w:rPr>
          <w:rFonts w:eastAsia="Arial" w:cs="Arial" w:ascii="Arial" w:hAnsi="Arial"/>
          <w:b/>
          <w:color w:val="000000"/>
        </w:rPr>
        <w:t>11.</w:t>
      </w:r>
      <w:r>
        <w:rPr>
          <w:rFonts w:eastAsia="Arial" w:cs="Arial" w:ascii="Arial" w:hAnsi="Arial"/>
          <w:b/>
        </w:rPr>
        <w:t>7.5</w:t>
      </w:r>
      <w:r>
        <w:rPr>
          <w:rFonts w:eastAsia="Arial" w:cs="Arial" w:ascii="Arial" w:hAnsi="Arial"/>
          <w:b/>
          <w:color w:val="000000"/>
        </w:rPr>
        <w:t>.</w:t>
      </w:r>
      <w:r>
        <w:rPr>
          <w:rFonts w:eastAsia="Arial" w:cs="Arial" w:ascii="Arial" w:hAnsi="Arial"/>
          <w:color w:val="000000"/>
        </w:rPr>
        <w:t xml:space="preserve"> O proponente desclassificado antes da fase de disputa também poderá manifestar sua intenção de interpor recurso na forma do subitem anterior.</w:t>
      </w:r>
    </w:p>
    <w:p>
      <w:pPr>
        <w:pStyle w:val="normal11"/>
        <w:numPr>
          <w:ilvl w:val="2"/>
          <w:numId w:val="18"/>
        </w:numPr>
        <w:pBdr/>
        <w:tabs>
          <w:tab w:val="clear" w:pos="720"/>
          <w:tab w:val="left" w:pos="918" w:leader="none"/>
        </w:tabs>
        <w:spacing w:lineRule="auto" w:line="360"/>
        <w:ind w:right="250"/>
        <w:jc w:val="both"/>
        <w:rPr>
          <w:rFonts w:ascii="Arial" w:hAnsi="Arial" w:eastAsia="Arial" w:cs="Arial"/>
          <w:color w:val="000000"/>
        </w:rPr>
      </w:pPr>
      <w:r>
        <w:rPr>
          <w:rFonts w:eastAsia="Arial" w:cs="Arial" w:ascii="Arial" w:hAnsi="Arial"/>
          <w:b/>
          <w:color w:val="000000"/>
        </w:rPr>
        <w:t>11.</w:t>
      </w:r>
      <w:r>
        <w:rPr>
          <w:rFonts w:eastAsia="Arial" w:cs="Arial" w:ascii="Arial" w:hAnsi="Arial"/>
          <w:b/>
        </w:rPr>
        <w:t>7.6</w:t>
      </w:r>
      <w:r>
        <w:rPr>
          <w:rFonts w:eastAsia="Arial" w:cs="Arial" w:ascii="Arial" w:hAnsi="Arial"/>
          <w:b/>
          <w:color w:val="000000"/>
        </w:rPr>
        <w:t>.</w:t>
      </w:r>
      <w:r>
        <w:rPr>
          <w:rFonts w:eastAsia="Arial" w:cs="Arial" w:ascii="Arial" w:hAnsi="Arial"/>
          <w:color w:val="000000"/>
        </w:rPr>
        <w:t xml:space="preserve"> A falta de manifestação imediata importará a decadência do direito de recurso, e não será admitida inovação na motivação dos recursos propostos.</w:t>
      </w:r>
    </w:p>
    <w:p>
      <w:pPr>
        <w:pStyle w:val="normal11"/>
        <w:numPr>
          <w:ilvl w:val="2"/>
          <w:numId w:val="18"/>
        </w:numPr>
        <w:pBdr/>
        <w:tabs>
          <w:tab w:val="clear" w:pos="720"/>
          <w:tab w:val="left" w:pos="978" w:leader="none"/>
        </w:tabs>
        <w:spacing w:lineRule="auto" w:line="360"/>
        <w:ind w:right="250"/>
        <w:jc w:val="both"/>
        <w:rPr>
          <w:rFonts w:ascii="Arial" w:hAnsi="Arial" w:eastAsia="Arial" w:cs="Arial"/>
          <w:color w:val="000000"/>
        </w:rPr>
      </w:pPr>
      <w:r>
        <w:rPr>
          <w:rFonts w:eastAsia="Arial" w:cs="Arial" w:ascii="Arial" w:hAnsi="Arial"/>
          <w:b/>
          <w:color w:val="000000"/>
        </w:rPr>
        <w:t>11.</w:t>
      </w:r>
      <w:r>
        <w:rPr>
          <w:rFonts w:eastAsia="Arial" w:cs="Arial" w:ascii="Arial" w:hAnsi="Arial"/>
          <w:b/>
        </w:rPr>
        <w:t>7.7</w:t>
      </w:r>
      <w:r>
        <w:rPr>
          <w:rFonts w:eastAsia="Arial" w:cs="Arial" w:ascii="Arial" w:hAnsi="Arial"/>
          <w:b/>
          <w:color w:val="000000"/>
        </w:rPr>
        <w:t>.</w:t>
      </w:r>
      <w:r>
        <w:rPr>
          <w:rFonts w:eastAsia="Arial" w:cs="Arial" w:ascii="Arial" w:hAnsi="Arial"/>
          <w:color w:val="000000"/>
        </w:rPr>
        <w:t xml:space="preserve"> O Agente de Contratação fará juízo de admissibilidade da intenção de recorrer manifestada aceitando-a ou, motivadamente, rejeitando-a.</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DA ADJUDICAÇÃO E DA HOMOLOGAÇÃO</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12.1.</w:t>
      </w:r>
      <w:r>
        <w:rPr>
          <w:rFonts w:eastAsia="Arial" w:cs="Arial" w:ascii="Arial" w:hAnsi="Arial"/>
          <w:color w:val="000000"/>
        </w:rPr>
        <w:t xml:space="preserve"> A adjudicação e a homologação será realizada pela autoridade competente.</w:t>
      </w:r>
    </w:p>
    <w:p>
      <w:pPr>
        <w:pStyle w:val="normal11"/>
        <w:numPr>
          <w:ilvl w:val="1"/>
          <w:numId w:val="18"/>
        </w:numPr>
        <w:pBdr/>
        <w:tabs>
          <w:tab w:val="clear" w:pos="720"/>
          <w:tab w:val="left" w:pos="724" w:leader="none"/>
        </w:tabs>
        <w:spacing w:lineRule="auto" w:line="360"/>
        <w:ind w:left="284"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DA CONTRATAÇÃO</w:t>
      </w:r>
    </w:p>
    <w:p>
      <w:pPr>
        <w:pStyle w:val="normal11"/>
        <w:numPr>
          <w:ilvl w:val="1"/>
          <w:numId w:val="18"/>
        </w:numPr>
        <w:pBdr/>
        <w:tabs>
          <w:tab w:val="clear" w:pos="720"/>
          <w:tab w:val="left" w:pos="765" w:leader="none"/>
        </w:tabs>
        <w:spacing w:lineRule="auto" w:line="360"/>
        <w:ind w:right="250"/>
        <w:jc w:val="both"/>
        <w:rPr>
          <w:rFonts w:ascii="Arial" w:hAnsi="Arial" w:eastAsia="Arial" w:cs="Arial"/>
          <w:color w:val="000000"/>
        </w:rPr>
      </w:pPr>
      <w:r>
        <w:rPr>
          <w:rFonts w:eastAsia="Arial" w:cs="Arial" w:ascii="Arial" w:hAnsi="Arial"/>
          <w:b/>
          <w:color w:val="000000"/>
        </w:rPr>
        <w:t>13.1.</w:t>
      </w:r>
      <w:r>
        <w:rPr>
          <w:rFonts w:eastAsia="Arial" w:cs="Arial" w:ascii="Arial" w:hAnsi="Arial"/>
          <w:color w:val="000000"/>
        </w:rPr>
        <w:t xml:space="preserve"> A contratação do(s) proponente(s) vencedor(es) da presente Concorrência será representada pela expedição do Termo de Contrato, da qual constará, no mínimo, identificação da licitação, especificações resumidas do serviço licitado, quantitativo, preço unitário e total, fornecedor, local e prazo para execução dos serviços conforme solicitação do Contratante.</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13.2.</w:t>
      </w:r>
      <w:r>
        <w:rPr>
          <w:rFonts w:eastAsia="Arial" w:cs="Arial" w:ascii="Arial" w:hAnsi="Arial"/>
          <w:color w:val="000000"/>
        </w:rPr>
        <w:t xml:space="preserve"> Convocação para assinatura eletrônica do contrato:</w:t>
      </w:r>
    </w:p>
    <w:p>
      <w:pPr>
        <w:pStyle w:val="normal11"/>
        <w:numPr>
          <w:ilvl w:val="2"/>
          <w:numId w:val="18"/>
        </w:numPr>
        <w:pBdr/>
        <w:tabs>
          <w:tab w:val="clear" w:pos="720"/>
          <w:tab w:val="left" w:pos="962"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2.1</w:t>
      </w:r>
      <w:r>
        <w:rPr>
          <w:rFonts w:eastAsia="Arial" w:cs="Arial" w:ascii="Arial" w:hAnsi="Arial"/>
          <w:b/>
          <w:color w:val="000000"/>
        </w:rPr>
        <w:t>.</w:t>
      </w:r>
      <w:r>
        <w:rPr>
          <w:rFonts w:eastAsia="Arial" w:cs="Arial" w:ascii="Arial" w:hAnsi="Arial"/>
          <w:color w:val="000000"/>
        </w:rPr>
        <w:t xml:space="preserve"> Homologado o resultado da licitação, o(s) vencedor(es) será(ão) convocado(s) para assinatura eletrônica do contrato, que deverá ocorrer </w:t>
      </w:r>
      <w:r>
        <w:rPr>
          <w:rFonts w:eastAsia="Arial" w:cs="Arial" w:ascii="Arial" w:hAnsi="Arial"/>
          <w:color w:val="000000"/>
          <w:u w:val="single"/>
        </w:rPr>
        <w:t>no prazo de até 05 (cinco) dias úteis contados da sua</w:t>
      </w:r>
      <w:r>
        <w:rPr>
          <w:rFonts w:eastAsia="Arial" w:cs="Arial" w:ascii="Arial" w:hAnsi="Arial"/>
          <w:color w:val="000000"/>
        </w:rPr>
        <w:t xml:space="preserve"> </w:t>
      </w:r>
      <w:r>
        <w:rPr>
          <w:rFonts w:eastAsia="Arial" w:cs="Arial" w:ascii="Arial" w:hAnsi="Arial"/>
          <w:color w:val="000000"/>
          <w:u w:val="single"/>
        </w:rPr>
        <w:t>disponibilização no Sistema Eletrônico de Informação (SEI).</w:t>
      </w:r>
    </w:p>
    <w:p>
      <w:pPr>
        <w:pStyle w:val="normal11"/>
        <w:numPr>
          <w:ilvl w:val="2"/>
          <w:numId w:val="18"/>
        </w:numPr>
        <w:pBdr/>
        <w:tabs>
          <w:tab w:val="clear" w:pos="720"/>
          <w:tab w:val="left" w:pos="939"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2.2</w:t>
      </w:r>
      <w:r>
        <w:rPr>
          <w:rFonts w:eastAsia="Arial" w:cs="Arial" w:ascii="Arial" w:hAnsi="Arial"/>
          <w:b/>
          <w:color w:val="000000"/>
        </w:rPr>
        <w:t xml:space="preserve">. </w:t>
      </w:r>
      <w:r>
        <w:rPr>
          <w:rFonts w:eastAsia="Arial" w:cs="Arial" w:ascii="Arial" w:hAnsi="Arial"/>
          <w:color w:val="000000"/>
        </w:rPr>
        <w:t xml:space="preserve">O(s) representante(s) legal(is) do(s) vencedor(s) receberá(ão) um e-mail no endereço cadastrado informando a disponibilização do documento para assinatura eletrônica, o qual indicará o </w:t>
      </w:r>
      <w:r>
        <w:rPr>
          <w:rFonts w:eastAsia="Arial" w:cs="Arial" w:ascii="Arial" w:hAnsi="Arial"/>
          <w:i/>
          <w:color w:val="000000"/>
        </w:rPr>
        <w:t xml:space="preserve">link </w:t>
      </w:r>
      <w:r>
        <w:rPr>
          <w:rFonts w:eastAsia="Arial" w:cs="Arial" w:ascii="Arial" w:hAnsi="Arial"/>
          <w:color w:val="000000"/>
        </w:rPr>
        <w:t>para acesso.</w:t>
      </w:r>
    </w:p>
    <w:p>
      <w:pPr>
        <w:pStyle w:val="normal11"/>
        <w:numPr>
          <w:ilvl w:val="2"/>
          <w:numId w:val="18"/>
        </w:numPr>
        <w:pBdr/>
        <w:tabs>
          <w:tab w:val="clear" w:pos="720"/>
          <w:tab w:val="left" w:pos="908"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2.3</w:t>
      </w:r>
      <w:r>
        <w:rPr>
          <w:rFonts w:eastAsia="Arial" w:cs="Arial" w:ascii="Arial" w:hAnsi="Arial"/>
          <w:b/>
          <w:color w:val="000000"/>
        </w:rPr>
        <w:t xml:space="preserve">. </w:t>
      </w:r>
      <w:r>
        <w:rPr>
          <w:rFonts w:eastAsia="Arial" w:cs="Arial" w:ascii="Arial" w:hAnsi="Arial"/>
          <w:color w:val="000000"/>
        </w:rPr>
        <w:t>É de responsabilidade exclusiva do usuário a consulta acerca da disponibilização do documento para assinatura no seu ambiente virtual.</w:t>
      </w:r>
    </w:p>
    <w:p>
      <w:pPr>
        <w:pStyle w:val="normal11"/>
        <w:numPr>
          <w:ilvl w:val="1"/>
          <w:numId w:val="18"/>
        </w:numPr>
        <w:pBdr/>
        <w:tabs>
          <w:tab w:val="clear" w:pos="720"/>
          <w:tab w:val="left" w:pos="741"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2.4</w:t>
      </w:r>
      <w:r>
        <w:rPr>
          <w:rFonts w:eastAsia="Arial" w:cs="Arial" w:ascii="Arial" w:hAnsi="Arial"/>
          <w:b/>
          <w:color w:val="000000"/>
        </w:rPr>
        <w:t>.</w:t>
      </w:r>
      <w:r>
        <w:rPr>
          <w:rFonts w:eastAsia="Arial" w:cs="Arial" w:ascii="Arial" w:hAnsi="Arial"/>
          <w:color w:val="000000"/>
        </w:rPr>
        <w:t xml:space="preserve"> Se o vencedor não apresentar situação de habilitação regular ou, dentro do prazo de validade de sua proposta, se recusar a assinar o contrato, poderá ser convocado outro proponente. Neste caso, será observada a ordem de classificação, averiguada a aceitabilidade de sua oferta, procedendo à sua habilitação e, sucessivamente, até a apuração de um que atenda ao Edital que será declarado o vencedor do certame, podendo o Agente de Contratação negociar diretamente com o proponente para que seja obtido melhor preço.</w:t>
      </w:r>
    </w:p>
    <w:p>
      <w:pPr>
        <w:pStyle w:val="normal11"/>
        <w:numPr>
          <w:ilvl w:val="2"/>
          <w:numId w:val="18"/>
        </w:numPr>
        <w:pBdr/>
        <w:tabs>
          <w:tab w:val="clear" w:pos="720"/>
          <w:tab w:val="left" w:pos="944"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2.5</w:t>
      </w:r>
      <w:r>
        <w:rPr>
          <w:rFonts w:eastAsia="Arial" w:cs="Arial" w:ascii="Arial" w:hAnsi="Arial"/>
          <w:b/>
          <w:color w:val="000000"/>
        </w:rPr>
        <w:t>.</w:t>
      </w:r>
      <w:r>
        <w:rPr>
          <w:rFonts w:eastAsia="Arial" w:cs="Arial" w:ascii="Arial" w:hAnsi="Arial"/>
          <w:color w:val="000000"/>
        </w:rPr>
        <w:t xml:space="preserve"> Se o vencedor se recusar a assinar o contrato no prazo estabelecido, apresentar justificativa por escrito não aceita pela Administração ou deixar de fazê-lo, além de decair do direito, sujeitar-se-á das sanções previstas neste Edital.</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w:t>
      </w:r>
      <w:r>
        <w:rPr>
          <w:rFonts w:eastAsia="Arial" w:cs="Arial" w:ascii="Arial" w:hAnsi="Arial"/>
          <w:b/>
          <w:color w:val="000000"/>
        </w:rPr>
        <w:t xml:space="preserve"> </w:t>
      </w:r>
      <w:r>
        <w:rPr>
          <w:rFonts w:eastAsia="Arial" w:cs="Arial" w:ascii="Arial" w:hAnsi="Arial"/>
          <w:color w:val="000000"/>
        </w:rPr>
        <w:t>Para assinatura eletrônica do contrato o vencedor deverá apresentar:</w:t>
      </w:r>
    </w:p>
    <w:p>
      <w:pPr>
        <w:pStyle w:val="normal11"/>
        <w:numPr>
          <w:ilvl w:val="2"/>
          <w:numId w:val="18"/>
        </w:numPr>
        <w:pBdr/>
        <w:tabs>
          <w:tab w:val="clear" w:pos="720"/>
          <w:tab w:val="left" w:pos="939"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3.1</w:t>
      </w:r>
      <w:r>
        <w:rPr>
          <w:rFonts w:eastAsia="Arial" w:cs="Arial" w:ascii="Arial" w:hAnsi="Arial"/>
          <w:b/>
          <w:color w:val="000000"/>
        </w:rPr>
        <w:t xml:space="preserve">. </w:t>
      </w:r>
      <w:r>
        <w:rPr>
          <w:rFonts w:eastAsia="Arial" w:cs="Arial" w:ascii="Arial" w:hAnsi="Arial"/>
          <w:color w:val="000000"/>
        </w:rPr>
        <w:t>Certidões atualizadas de regularidade fiscal junto aos seguintes órgãos: Fazenda Federal (conjunta com a contribuição previdenciária), Fazenda Estadual, Fazenda Municipal, do domicílio ou sede da licitante e Fundo de Garantia por Tempo de Serviço – FGTS, em atendimento ao art. 92, inciso XVI, da Lei nº 14.133/21 e a Certidão de Negativas Débitos Trabalhistas, conforme Lei nº 12.440, de 07 de julho de 2011.</w:t>
      </w:r>
    </w:p>
    <w:p>
      <w:pPr>
        <w:pStyle w:val="normal11"/>
        <w:numPr>
          <w:ilvl w:val="2"/>
          <w:numId w:val="18"/>
        </w:numPr>
        <w:pBdr/>
        <w:tabs>
          <w:tab w:val="clear" w:pos="720"/>
          <w:tab w:val="left" w:pos="908"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3.2</w:t>
      </w:r>
      <w:r>
        <w:rPr>
          <w:rFonts w:eastAsia="Arial" w:cs="Arial" w:ascii="Arial" w:hAnsi="Arial"/>
          <w:b/>
          <w:color w:val="000000"/>
        </w:rPr>
        <w:t xml:space="preserve">. </w:t>
      </w:r>
      <w:r>
        <w:rPr>
          <w:rFonts w:eastAsia="Arial" w:cs="Arial" w:ascii="Arial" w:hAnsi="Arial"/>
          <w:color w:val="000000"/>
        </w:rPr>
        <w:t>Procuração pública ou particular, com poderes específicos para representar o interessado, caso a assinatura do termo contratual seja realizada por um procurador designado pelo proponente.</w:t>
      </w:r>
    </w:p>
    <w:p>
      <w:pPr>
        <w:pStyle w:val="normal11"/>
        <w:numPr>
          <w:ilvl w:val="2"/>
          <w:numId w:val="18"/>
        </w:numPr>
        <w:pBdr/>
        <w:tabs>
          <w:tab w:val="clear" w:pos="720"/>
          <w:tab w:val="left" w:pos="939"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3.3</w:t>
      </w:r>
      <w:r>
        <w:rPr>
          <w:rFonts w:eastAsia="Arial" w:cs="Arial" w:ascii="Arial" w:hAnsi="Arial"/>
          <w:b/>
          <w:color w:val="000000"/>
        </w:rPr>
        <w:t xml:space="preserve">. </w:t>
      </w:r>
      <w:r>
        <w:rPr>
          <w:rFonts w:eastAsia="Arial" w:cs="Arial" w:ascii="Arial" w:hAnsi="Arial"/>
          <w:color w:val="000000"/>
        </w:rPr>
        <w:t>Composição de BDI detalhando todos os seus componentes, inclusive o percentual, que deverá representar o mesmo percentual total indicado na proposta comercial.</w:t>
      </w:r>
    </w:p>
    <w:p>
      <w:pPr>
        <w:pStyle w:val="normal11"/>
        <w:numPr>
          <w:ilvl w:val="3"/>
          <w:numId w:val="18"/>
        </w:numPr>
        <w:pBdr/>
        <w:tabs>
          <w:tab w:val="clear" w:pos="720"/>
          <w:tab w:val="left" w:pos="1108"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3.3.1</w:t>
      </w:r>
      <w:r>
        <w:rPr>
          <w:rFonts w:eastAsia="Arial" w:cs="Arial" w:ascii="Arial" w:hAnsi="Arial"/>
          <w:b/>
          <w:color w:val="000000"/>
        </w:rPr>
        <w:t xml:space="preserve">. </w:t>
      </w:r>
      <w:r>
        <w:rPr>
          <w:rFonts w:eastAsia="Arial" w:cs="Arial" w:ascii="Arial" w:hAnsi="Arial"/>
          <w:color w:val="000000"/>
        </w:rPr>
        <w:t xml:space="preserve">Os custos relativos </w:t>
      </w:r>
      <w:r>
        <w:rPr>
          <w:rFonts w:eastAsia="Arial" w:cs="Arial" w:ascii="Arial" w:hAnsi="Arial"/>
        </w:rPr>
        <w:t>à administração</w:t>
      </w:r>
      <w:r>
        <w:rPr>
          <w:rFonts w:eastAsia="Arial" w:cs="Arial" w:ascii="Arial" w:hAnsi="Arial"/>
          <w:color w:val="000000"/>
        </w:rPr>
        <w:t xml:space="preserve"> local, mobilização e desmobilização e instalação de canteiro e acampamento, bem como quaisquer outros itens que possam ser apropriados como custo direto da obra, não poderão ser incluídos na composição do BDI, devendo ser cotados na planilha orçamentária.</w:t>
      </w:r>
    </w:p>
    <w:p>
      <w:pPr>
        <w:pStyle w:val="normal11"/>
        <w:numPr>
          <w:ilvl w:val="3"/>
          <w:numId w:val="18"/>
        </w:numPr>
        <w:pBdr/>
        <w:tabs>
          <w:tab w:val="clear" w:pos="720"/>
          <w:tab w:val="left" w:pos="1093"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3.3.2</w:t>
      </w:r>
      <w:r>
        <w:rPr>
          <w:rFonts w:eastAsia="Arial" w:cs="Arial" w:ascii="Arial" w:hAnsi="Arial"/>
          <w:b/>
          <w:color w:val="000000"/>
        </w:rPr>
        <w:t>.</w:t>
      </w:r>
      <w:r>
        <w:rPr>
          <w:rFonts w:eastAsia="Arial" w:cs="Arial" w:ascii="Arial" w:hAnsi="Arial"/>
          <w:color w:val="000000"/>
        </w:rPr>
        <w:t xml:space="preserve"> Os tributos considerados de natureza direta e personalística, como o Imposto de Renda de Pessoa Jurídica - IRPJ e a Contribuição Sobre o Lucro Líquido - CSLL, não deverão ser incluídos no BDI, nos termos do art. 9º, II do Decreto nº 7.983, de 2013 (TCU, Súmula 254).</w:t>
      </w:r>
    </w:p>
    <w:p>
      <w:pPr>
        <w:pStyle w:val="normal11"/>
        <w:numPr>
          <w:ilvl w:val="3"/>
          <w:numId w:val="18"/>
        </w:numPr>
        <w:pBdr/>
        <w:tabs>
          <w:tab w:val="clear" w:pos="720"/>
          <w:tab w:val="left" w:pos="1108"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3.3.3</w:t>
      </w:r>
      <w:r>
        <w:rPr>
          <w:rFonts w:eastAsia="Arial" w:cs="Arial" w:ascii="Arial" w:hAnsi="Arial"/>
          <w:b/>
          <w:color w:val="000000"/>
        </w:rPr>
        <w:t xml:space="preserve">. </w:t>
      </w:r>
      <w:r>
        <w:rPr>
          <w:rFonts w:eastAsia="Arial" w:cs="Arial" w:ascii="Arial" w:hAnsi="Arial"/>
          <w:color w:val="000000"/>
        </w:rPr>
        <w:t>As alíquotas de tributos apresentadas pelo proponente na composição do BDI devem observar a legislação tributária vigente (Acórdão 2.622/2013, TCU).</w:t>
      </w:r>
    </w:p>
    <w:p>
      <w:pPr>
        <w:pStyle w:val="normal11"/>
        <w:numPr>
          <w:ilvl w:val="3"/>
          <w:numId w:val="18"/>
        </w:numPr>
        <w:pBdr/>
        <w:tabs>
          <w:tab w:val="clear" w:pos="720"/>
          <w:tab w:val="left" w:pos="1124" w:leader="none"/>
        </w:tabs>
        <w:spacing w:lineRule="auto" w:line="360"/>
        <w:ind w:right="250"/>
        <w:jc w:val="both"/>
        <w:rPr>
          <w:rFonts w:ascii="Arial" w:hAnsi="Arial" w:eastAsia="Arial" w:cs="Arial"/>
          <w:color w:val="000000"/>
        </w:rPr>
      </w:pPr>
      <w:r>
        <w:rPr>
          <w:rFonts w:eastAsia="Arial" w:cs="Arial" w:ascii="Arial" w:hAnsi="Arial"/>
          <w:b/>
          <w:color w:val="000000"/>
        </w:rPr>
        <w:t>13.</w:t>
      </w:r>
      <w:r>
        <w:rPr>
          <w:rFonts w:eastAsia="Arial" w:cs="Arial" w:ascii="Arial" w:hAnsi="Arial"/>
          <w:b/>
        </w:rPr>
        <w:t>3.3.4</w:t>
      </w:r>
      <w:r>
        <w:rPr>
          <w:rFonts w:eastAsia="Arial" w:cs="Arial" w:ascii="Arial" w:hAnsi="Arial"/>
          <w:b/>
          <w:color w:val="000000"/>
        </w:rPr>
        <w:t xml:space="preserve">. </w:t>
      </w:r>
      <w:r>
        <w:rPr>
          <w:rFonts w:eastAsia="Arial" w:cs="Arial" w:ascii="Arial" w:hAnsi="Arial"/>
          <w:color w:val="000000"/>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 financeiro do contrato e a manutenção do percentual de desconto ofertado pelo contratado, em atendimento ao art. 37, inciso XXI, da Constituição Federal e aos arts. 14 e 15 do Decreto 7.983/2013.</w:t>
      </w:r>
    </w:p>
    <w:p>
      <w:pPr>
        <w:pStyle w:val="normal11"/>
        <w:numPr>
          <w:ilvl w:val="2"/>
          <w:numId w:val="18"/>
        </w:numPr>
        <w:pBdr/>
        <w:tabs>
          <w:tab w:val="clear" w:pos="720"/>
          <w:tab w:val="left" w:pos="908" w:leader="none"/>
        </w:tabs>
        <w:spacing w:lineRule="auto" w:line="360"/>
        <w:ind w:right="250"/>
        <w:rPr>
          <w:rFonts w:ascii="Arial" w:hAnsi="Arial" w:eastAsia="Arial" w:cs="Arial"/>
          <w:color w:val="000000"/>
        </w:rPr>
      </w:pPr>
      <w:r>
        <w:rPr>
          <w:rFonts w:eastAsia="Arial" w:cs="Arial" w:ascii="Arial" w:hAnsi="Arial"/>
          <w:b/>
          <w:color w:val="000000"/>
        </w:rPr>
        <w:t>13.</w:t>
      </w:r>
      <w:r>
        <w:rPr>
          <w:rFonts w:eastAsia="Arial" w:cs="Arial" w:ascii="Arial" w:hAnsi="Arial"/>
          <w:b/>
        </w:rPr>
        <w:t>3.4</w:t>
      </w:r>
      <w:r>
        <w:rPr>
          <w:rFonts w:eastAsia="Arial" w:cs="Arial" w:ascii="Arial" w:hAnsi="Arial"/>
          <w:b/>
          <w:color w:val="000000"/>
        </w:rPr>
        <w:t>.</w:t>
      </w:r>
      <w:r>
        <w:rPr>
          <w:rFonts w:eastAsia="Arial" w:cs="Arial" w:ascii="Arial" w:hAnsi="Arial"/>
          <w:color w:val="000000"/>
        </w:rPr>
        <w:t xml:space="preserve"> Certidão de Registro de Pessoa Jurídica vigente e, no caso da empresa vencedora não ser sediada no Estado de Santa Catarina, Certidão atualizada de registro de Pessoa Jurídica expedida pelo Conselho competente, vistado pelo CREA/SC ou outro conselho competente correspondente à região de Florianópolis, com indicação dos responsáveis técnicos.</w:t>
      </w:r>
    </w:p>
    <w:p>
      <w:pPr>
        <w:pStyle w:val="normal11"/>
        <w:numPr>
          <w:ilvl w:val="2"/>
          <w:numId w:val="18"/>
        </w:numPr>
        <w:pBdr/>
        <w:tabs>
          <w:tab w:val="clear" w:pos="720"/>
          <w:tab w:val="left" w:pos="908" w:leader="none"/>
        </w:tabs>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xml:space="preserve">- DA ASSINATURA </w:t>
      </w:r>
    </w:p>
    <w:p>
      <w:pPr>
        <w:pStyle w:val="normal11"/>
        <w:numPr>
          <w:ilvl w:val="1"/>
          <w:numId w:val="18"/>
        </w:numPr>
        <w:pBdr/>
        <w:tabs>
          <w:tab w:val="clear" w:pos="720"/>
          <w:tab w:val="left" w:pos="801" w:leader="none"/>
        </w:tabs>
        <w:spacing w:lineRule="auto" w:line="360"/>
        <w:ind w:right="113"/>
        <w:jc w:val="both"/>
        <w:rPr>
          <w:rFonts w:ascii="Arial" w:hAnsi="Arial" w:eastAsia="Arial" w:cs="Arial"/>
          <w:color w:val="000000"/>
        </w:rPr>
      </w:pPr>
      <w:r>
        <w:rPr>
          <w:rFonts w:eastAsia="Arial" w:cs="Arial" w:ascii="Arial" w:hAnsi="Arial"/>
          <w:b/>
          <w:color w:val="000000"/>
        </w:rPr>
        <w:t xml:space="preserve">14.1. </w:t>
      </w:r>
      <w:r>
        <w:rPr>
          <w:rFonts w:eastAsia="Arial" w:cs="Arial" w:ascii="Arial" w:hAnsi="Arial"/>
          <w:color w:val="000000"/>
        </w:rPr>
        <w:t>O PROPONENTE VENCEDOR terá o prazo de 05 (cinco) dias úteis, contados a partir da convocação, para assinar o Contrato. Este prazo poderá ser prorrogado uma vez, por igual período, quando solicitado pelo PROPONENTE VENCEDOR durante o seu transcurso e desde que ocorra motivo justificado, aceito pela Secretaria Solicitante.</w:t>
      </w:r>
    </w:p>
    <w:p>
      <w:pPr>
        <w:pStyle w:val="normal11"/>
        <w:numPr>
          <w:ilvl w:val="1"/>
          <w:numId w:val="18"/>
        </w:numPr>
        <w:pBdr/>
        <w:tabs>
          <w:tab w:val="clear" w:pos="720"/>
          <w:tab w:val="left" w:pos="801" w:leader="none"/>
        </w:tabs>
        <w:spacing w:lineRule="auto" w:line="360"/>
        <w:ind w:left="284" w:right="250"/>
        <w:jc w:val="both"/>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DOS PRAZOS E DA FORMA DE EXECUÇÃO DO OBJETO</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15.1.</w:t>
      </w:r>
      <w:r>
        <w:rPr>
          <w:rFonts w:eastAsia="Arial" w:cs="Arial" w:ascii="Arial" w:hAnsi="Arial"/>
          <w:color w:val="000000"/>
        </w:rPr>
        <w:t xml:space="preserve"> O </w:t>
      </w:r>
      <w:r>
        <w:rPr>
          <w:rFonts w:eastAsia="Arial" w:cs="Arial" w:ascii="Arial" w:hAnsi="Arial"/>
          <w:b/>
          <w:color w:val="000000"/>
        </w:rPr>
        <w:t xml:space="preserve">prazo de vigência contratual </w:t>
      </w:r>
      <w:r>
        <w:rPr>
          <w:rFonts w:eastAsia="Arial" w:cs="Arial" w:ascii="Arial" w:hAnsi="Arial"/>
          <w:color w:val="000000"/>
        </w:rPr>
        <w:t>será de</w:t>
      </w:r>
      <w:r>
        <w:rPr>
          <w:rFonts w:eastAsia="Arial" w:cs="Arial" w:ascii="Arial" w:hAnsi="Arial"/>
          <w:b/>
        </w:rPr>
        <w:t xml:space="preserve"> 420 (quatrocentos e vinte) dias</w:t>
      </w:r>
      <w:r>
        <w:rPr>
          <w:rFonts w:eastAsia="Arial" w:cs="Arial" w:ascii="Arial" w:hAnsi="Arial"/>
          <w:color w:val="000000"/>
        </w:rPr>
        <w:t xml:space="preserve">, contados a partir da </w:t>
      </w:r>
      <w:r>
        <w:rPr>
          <w:rFonts w:eastAsia="Arial" w:cs="Arial" w:ascii="Arial" w:hAnsi="Arial"/>
        </w:rPr>
        <w:t>sua publicação</w:t>
      </w:r>
      <w:r>
        <w:rPr>
          <w:rFonts w:eastAsia="Arial" w:cs="Arial" w:ascii="Arial" w:hAnsi="Arial"/>
          <w:color w:val="000000"/>
        </w:rPr>
        <w:t>, na forma do artigo 105 da Lei n° 14.133, de 2021, podendo ser prorrogado, na forma do artigo 111 da Lei n° 14.133, de 2021.</w:t>
      </w:r>
    </w:p>
    <w:p>
      <w:pPr>
        <w:pStyle w:val="normal11"/>
        <w:numPr>
          <w:ilvl w:val="1"/>
          <w:numId w:val="18"/>
        </w:numPr>
        <w:pBdr/>
        <w:tabs>
          <w:tab w:val="clear" w:pos="720"/>
          <w:tab w:val="left" w:pos="740" w:leader="none"/>
        </w:tabs>
        <w:spacing w:lineRule="auto" w:line="360"/>
        <w:ind w:right="250"/>
        <w:jc w:val="both"/>
        <w:rPr>
          <w:rFonts w:ascii="Arial" w:hAnsi="Arial" w:eastAsia="Arial" w:cs="Arial"/>
          <w:color w:val="000000"/>
        </w:rPr>
      </w:pPr>
      <w:r>
        <w:rPr>
          <w:rFonts w:eastAsia="Arial" w:cs="Arial" w:ascii="Arial" w:hAnsi="Arial"/>
          <w:b/>
          <w:color w:val="000000"/>
        </w:rPr>
        <w:t>15.2.</w:t>
      </w:r>
      <w:r>
        <w:rPr>
          <w:rFonts w:eastAsia="Arial" w:cs="Arial" w:ascii="Arial" w:hAnsi="Arial"/>
          <w:color w:val="000000"/>
        </w:rPr>
        <w:t xml:space="preserve"> O </w:t>
      </w:r>
      <w:r>
        <w:rPr>
          <w:rFonts w:eastAsia="Arial" w:cs="Arial" w:ascii="Arial" w:hAnsi="Arial"/>
          <w:b/>
          <w:color w:val="000000"/>
        </w:rPr>
        <w:t xml:space="preserve">prazo da execução dos serviços </w:t>
      </w:r>
      <w:r>
        <w:rPr>
          <w:rFonts w:eastAsia="Arial" w:cs="Arial" w:ascii="Arial" w:hAnsi="Arial"/>
          <w:color w:val="000000"/>
        </w:rPr>
        <w:t>será de</w:t>
      </w:r>
      <w:r>
        <w:rPr>
          <w:rFonts w:eastAsia="Arial" w:cs="Arial" w:ascii="Arial" w:hAnsi="Arial"/>
          <w:b/>
        </w:rPr>
        <w:t xml:space="preserve"> 360 (trezentos e sessenta) dias</w:t>
      </w:r>
      <w:r>
        <w:rPr>
          <w:rFonts w:eastAsia="Arial" w:cs="Arial" w:ascii="Arial" w:hAnsi="Arial"/>
          <w:color w:val="000000"/>
        </w:rPr>
        <w:t>, a conta</w:t>
      </w:r>
      <w:r>
        <w:rPr>
          <w:rFonts w:eastAsia="Arial" w:cs="Arial" w:ascii="Arial" w:hAnsi="Arial"/>
        </w:rPr>
        <w:t>r</w:t>
      </w:r>
      <w:r>
        <w:rPr>
          <w:rFonts w:eastAsia="Arial" w:cs="Arial" w:ascii="Arial" w:hAnsi="Arial"/>
          <w:color w:val="000000"/>
        </w:rPr>
        <w:t xml:space="preserve"> da data de assinatura do referido instrumento, podendo ser prorrogado nos termos do artigo 111, da Lei nº 14.133/21.</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15.3. </w:t>
      </w:r>
      <w:r>
        <w:rPr>
          <w:rFonts w:eastAsia="Arial" w:cs="Arial" w:ascii="Arial" w:hAnsi="Arial"/>
          <w:color w:val="000000"/>
        </w:rPr>
        <w:t>Os preços inicialmente contratados somente poderão ser reajustados após o prazo de um ano, contado da data base do orçamento estimado, qual seja,</w:t>
      </w:r>
      <w:r>
        <w:rPr>
          <w:rFonts w:eastAsia="Arial" w:cs="Arial" w:ascii="Arial" w:hAnsi="Arial"/>
          <w:b/>
        </w:rPr>
        <w:t xml:space="preserve"> dezembro de 2024</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15.4. </w:t>
      </w:r>
      <w:r>
        <w:rPr>
          <w:rFonts w:eastAsia="Arial" w:cs="Arial" w:ascii="Arial" w:hAnsi="Arial"/>
          <w:color w:val="000000"/>
        </w:rPr>
        <w:t>Após o interregno de um ano, e independentemente de pedido do contratado, os preços iniciais serão reajustados, mediante a aplicação do índice INCC/DI - Índice Nacional de Custo de Construção - Disponibilidade Interna</w:t>
      </w:r>
      <w:r>
        <w:rPr>
          <w:rFonts w:eastAsia="Arial" w:cs="Arial" w:ascii="Arial" w:hAnsi="Arial"/>
          <w:i/>
          <w:color w:val="000000"/>
        </w:rPr>
        <w:t xml:space="preserve">, </w:t>
      </w:r>
      <w:r>
        <w:rPr>
          <w:rFonts w:eastAsia="Arial" w:cs="Arial" w:ascii="Arial" w:hAnsi="Arial"/>
          <w:color w:val="000000"/>
        </w:rPr>
        <w:t>exclusivamente para as obrigações iniciadas e concluídas após a ocorrência da anualidade.</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15.5. </w:t>
      </w:r>
      <w:r>
        <w:rPr>
          <w:rFonts w:eastAsia="Arial" w:cs="Arial" w:ascii="Arial" w:hAnsi="Arial"/>
          <w:color w:val="000000"/>
        </w:rPr>
        <w:t xml:space="preserve">Nos reajustes subsequentes ao primeiro o </w:t>
      </w:r>
      <w:r>
        <w:rPr>
          <w:rFonts w:eastAsia="Arial" w:cs="Arial" w:ascii="Arial" w:hAnsi="Arial"/>
        </w:rPr>
        <w:t>intervalo</w:t>
      </w:r>
      <w:r>
        <w:rPr>
          <w:rFonts w:eastAsia="Arial" w:cs="Arial" w:ascii="Arial" w:hAnsi="Arial"/>
          <w:color w:val="000000"/>
        </w:rPr>
        <w:t xml:space="preserve"> mínimo de um ano será contado a partir dos efeitos financeiros do último reajuste.</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15.6. </w:t>
      </w:r>
      <w:r>
        <w:rPr>
          <w:rFonts w:eastAsia="Arial" w:cs="Arial" w:ascii="Arial" w:hAnsi="Arial"/>
          <w:color w:val="000000"/>
        </w:rPr>
        <w:t>Para fins de contagem dos prazos previstos será considerado como data de assinatura do contrato a data da última assinatura (dia/mês/ano) dos signatários referenciados no preâmbulo do referido instrumento.</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GARANTIA DO CONTRATO</w:t>
      </w:r>
    </w:p>
    <w:p>
      <w:pPr>
        <w:pStyle w:val="normal11"/>
        <w:numPr>
          <w:ilvl w:val="1"/>
          <w:numId w:val="18"/>
        </w:numPr>
        <w:pBdr/>
        <w:tabs>
          <w:tab w:val="clear" w:pos="720"/>
          <w:tab w:val="left" w:pos="750" w:leader="none"/>
        </w:tabs>
        <w:spacing w:lineRule="auto" w:line="360"/>
        <w:ind w:right="250"/>
        <w:jc w:val="both"/>
        <w:rPr>
          <w:rFonts w:ascii="Arial" w:hAnsi="Arial" w:eastAsia="Arial" w:cs="Arial"/>
          <w:b/>
          <w:color w:val="000000"/>
        </w:rPr>
      </w:pPr>
      <w:r>
        <w:rPr>
          <w:rFonts w:eastAsia="Arial" w:cs="Arial" w:ascii="Arial" w:hAnsi="Arial"/>
          <w:b/>
          <w:color w:val="000000"/>
        </w:rPr>
        <w:t>16.1.</w:t>
      </w:r>
      <w:r>
        <w:rPr>
          <w:rFonts w:eastAsia="Arial" w:cs="Arial" w:ascii="Arial" w:hAnsi="Arial"/>
          <w:color w:val="000000"/>
        </w:rPr>
        <w:t xml:space="preserve"> A contratada deverá apresentar garantia de execução do contrato, nos moldes do art. 96 da Lei nº 14.133/2021, no valor correspondente à </w:t>
      </w:r>
      <w:r>
        <w:rPr>
          <w:rFonts w:eastAsia="Arial" w:cs="Arial" w:ascii="Arial" w:hAnsi="Arial"/>
        </w:rPr>
        <w:t>5</w:t>
      </w:r>
      <w:r>
        <w:rPr>
          <w:rFonts w:eastAsia="Arial" w:cs="Arial" w:ascii="Arial" w:hAnsi="Arial"/>
          <w:color w:val="000000"/>
        </w:rPr>
        <w:t>% (cinco por cento) do valor total do contrato, com validade durante a vigência do contrato, devendo ser renovada a cada prorrogação</w:t>
      </w:r>
      <w:r>
        <w:rPr>
          <w:rFonts w:eastAsia="Arial" w:cs="Arial" w:ascii="Arial" w:hAnsi="Arial"/>
          <w:b/>
          <w:color w:val="000000"/>
        </w:rPr>
        <w:t>.</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16.2.</w:t>
      </w:r>
      <w:r>
        <w:rPr>
          <w:rFonts w:eastAsia="Arial" w:cs="Arial" w:ascii="Arial" w:hAnsi="Arial"/>
          <w:color w:val="000000"/>
        </w:rPr>
        <w:t xml:space="preserve"> A garantia de contrato deverá ser apresentada no prazo máximo de 10 (dez) dias úteis, prorrogáveis por igual período, a critério do Município, contados da assinatura do contrato.</w:t>
      </w:r>
    </w:p>
    <w:p>
      <w:pPr>
        <w:pStyle w:val="normal11"/>
        <w:numPr>
          <w:ilvl w:val="1"/>
          <w:numId w:val="18"/>
        </w:numPr>
        <w:pBdr/>
        <w:tabs>
          <w:tab w:val="clear" w:pos="720"/>
          <w:tab w:val="left" w:pos="724" w:leader="none"/>
        </w:tabs>
        <w:spacing w:lineRule="auto" w:line="360"/>
        <w:ind w:right="250"/>
        <w:jc w:val="both"/>
        <w:rPr>
          <w:rFonts w:ascii="Arial" w:hAnsi="Arial" w:eastAsia="Arial" w:cs="Arial"/>
          <w:color w:val="000000"/>
        </w:rPr>
      </w:pPr>
      <w:r>
        <w:rPr>
          <w:rFonts w:eastAsia="Arial" w:cs="Arial" w:ascii="Arial" w:hAnsi="Arial"/>
          <w:b/>
          <w:color w:val="000000"/>
        </w:rPr>
        <w:t xml:space="preserve">16.3. </w:t>
      </w:r>
      <w:r>
        <w:rPr>
          <w:rFonts w:eastAsia="Arial" w:cs="Arial" w:ascii="Arial" w:hAnsi="Arial"/>
          <w:color w:val="000000"/>
        </w:rPr>
        <w:t>A garantia prestada pelo contratado será liberada ou restituída após a emissão do termo de recebimento definitivo dos serviços.</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DA GESTÃO DO CONTRATO</w:t>
      </w:r>
    </w:p>
    <w:p>
      <w:pPr>
        <w:pStyle w:val="normal11"/>
        <w:numPr>
          <w:ilvl w:val="1"/>
          <w:numId w:val="24"/>
        </w:numPr>
        <w:pBdr/>
        <w:tabs>
          <w:tab w:val="clear" w:pos="720"/>
          <w:tab w:val="left" w:pos="5"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A gestão do contrato será realizada pela Secretaria Municipal de </w:t>
      </w:r>
      <w:r>
        <w:rPr>
          <w:rFonts w:eastAsia="Arial" w:cs="Arial" w:ascii="Arial" w:hAnsi="Arial"/>
        </w:rPr>
        <w:t>Saúde</w:t>
      </w:r>
      <w:r>
        <w:rPr>
          <w:rFonts w:eastAsia="Arial" w:cs="Arial" w:ascii="Arial" w:hAnsi="Arial"/>
          <w:color w:val="000000"/>
        </w:rPr>
        <w:t>, sendo essa responsável pelo recebimento e fiscalização do objeto licitado, devendo ser observado o disposto no art. 117 da Lei nº 14.133/21.</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DO PAGAMENTO DOS SERVIÇOS CONTRATADOS</w:t>
      </w:r>
    </w:p>
    <w:p>
      <w:pPr>
        <w:pStyle w:val="normal11"/>
        <w:widowControl/>
        <w:pBdr/>
        <w:spacing w:lineRule="auto" w:line="360"/>
        <w:jc w:val="both"/>
        <w:rPr>
          <w:rFonts w:ascii="Arial" w:hAnsi="Arial" w:eastAsia="Arial" w:cs="Arial"/>
          <w:color w:val="000000"/>
        </w:rPr>
      </w:pPr>
      <w:r>
        <w:rPr>
          <w:rFonts w:eastAsia="Arial" w:cs="Arial" w:ascii="Arial" w:hAnsi="Arial"/>
          <w:b/>
          <w:color w:val="000000"/>
        </w:rPr>
        <w:t xml:space="preserve">18.1. </w:t>
      </w:r>
      <w:r>
        <w:rPr>
          <w:rFonts w:eastAsia="Arial" w:cs="Arial" w:ascii="Arial" w:hAnsi="Arial"/>
          <w:color w:val="000000"/>
        </w:rPr>
        <w:t>O pagamento será efetuado de acordo com o contrato.</w:t>
      </w:r>
    </w:p>
    <w:p>
      <w:pPr>
        <w:pStyle w:val="normal11"/>
        <w:spacing w:lineRule="auto" w:line="360"/>
        <w:jc w:val="both"/>
        <w:rPr>
          <w:rFonts w:ascii="Arial" w:hAnsi="Arial" w:eastAsia="Arial" w:cs="Arial"/>
        </w:rPr>
      </w:pPr>
      <w:r>
        <w:rPr>
          <w:rFonts w:eastAsia="Arial" w:cs="Arial" w:ascii="Arial" w:hAnsi="Arial"/>
          <w:b/>
        </w:rPr>
        <w:t>18.2.</w:t>
      </w:r>
      <w:r>
        <w:rPr>
          <w:rFonts w:eastAsia="Arial" w:cs="Arial" w:ascii="Arial" w:hAnsi="Arial"/>
        </w:rPr>
        <w:t xml:space="preserve"> O pagamento somente será liberado mediante a apresentação da Certidão Negativa de Débito para com a Fazenda Municipal de Florianópolis, Certidão Negativa de Débito Federal e Certidão de Regularidade do FGTS.</w:t>
      </w:r>
    </w:p>
    <w:p>
      <w:pPr>
        <w:pStyle w:val="normal11"/>
        <w:spacing w:lineRule="auto" w:line="360"/>
        <w:jc w:val="both"/>
        <w:rPr>
          <w:rFonts w:ascii="Arial" w:hAnsi="Arial" w:eastAsia="Arial" w:cs="Arial"/>
        </w:rPr>
      </w:pPr>
      <w:r>
        <w:rPr>
          <w:rFonts w:eastAsia="Arial" w:cs="Arial" w:ascii="Arial" w:hAnsi="Arial"/>
          <w:b/>
        </w:rPr>
        <w:t xml:space="preserve">18.3. </w:t>
      </w:r>
      <w:r>
        <w:rPr>
          <w:rFonts w:eastAsia="Arial" w:cs="Arial" w:ascii="Arial" w:hAnsi="Arial"/>
          <w:u w:val="single"/>
        </w:rPr>
        <w:t>O primeiro pagamento fica condicionado e somente será liberado mediante a apresentação do Seguro-garantia</w:t>
      </w:r>
      <w:r>
        <w:rPr>
          <w:rFonts w:eastAsia="Arial" w:cs="Arial" w:ascii="Arial" w:hAnsi="Arial"/>
        </w:rPr>
        <w:t>.</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18"/>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DO RECEBIMENTO DA OBRA</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Concluídas todas as obras e serviços objetos desta licitação, se estiverem em perfeitas condições atestada pela FISCALIZAÇÃO e após efetuados todos os testes e ensaios necessários, bem como recebida toda a documentação exigida neste memorial e nos demais documentos contratuais, a obra poderá ser dada como concluída e recebida pela CONTRATANTE.</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Para a entrega da obra a Contratada obriga-se a apresentar, além de todos os certificados e garantias de materiais e equipamentos exigidos neste memorial e nos memoriais específicos de cada disciplina, todas as ligações definitivas concluídas, em operação e perfeito funcionamento, bem como laudos exigidos para emissão do Habite-se da obra, quando couber. A critério da FISCALIZAÇÃO DA OBRA deverão ser apresentadas as notas fiscais de compra dos materiais sujeitos à comprovação de especificação, como pisos, vidros laminados e outros que se julgue necessário.</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Ao final de todos os serviços, deverá ser entregue à Fiscalização os desenhos “as built”, memoriais e planilhas, </w:t>
      </w:r>
      <w:r>
        <w:rPr>
          <w:rFonts w:eastAsia="Arial" w:cs="Arial" w:ascii="Arial" w:hAnsi="Arial"/>
        </w:rPr>
        <w:t xml:space="preserve">através de pasta em nuvem, </w:t>
      </w:r>
      <w:r>
        <w:rPr>
          <w:rFonts w:eastAsia="Arial" w:cs="Arial" w:ascii="Arial" w:hAnsi="Arial"/>
          <w:color w:val="000000"/>
        </w:rPr>
        <w:t xml:space="preserve">nas versões digitais para manuseio (ex:.dwg, xls, doc etc.) e versões de plotagem (ex.: plt, pdf etc.), indicando toda e qualquer alteração do projeto executivo decorrente de eventuais “soluções de obra”, “termos aditivos” etc. Todos os certificados de garantia de materiais e equipamentos utilizados e ou instalados devem ser oficialmente entregues à Fiscalização, registrando o item, prazo de garantia e estado de qualidade. </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Caberá à Contratada realizar todos os testes de materiais e equipamentos exigidos pela Fiscalização, sem que isto represente quaisquer custos adicionais para a Contratante. Na verificação final serão obedecidas as normas da ABNT ou sucedâneas. </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O recebimento do objeto deste contrato ficará condicionado </w:t>
      </w:r>
      <w:r>
        <w:rPr>
          <w:rFonts w:eastAsia="Arial" w:cs="Arial" w:ascii="Arial" w:hAnsi="Arial"/>
        </w:rPr>
        <w:t>à observância</w:t>
      </w:r>
      <w:r>
        <w:rPr>
          <w:rFonts w:eastAsia="Arial" w:cs="Arial" w:ascii="Arial" w:hAnsi="Arial"/>
          <w:color w:val="000000"/>
        </w:rPr>
        <w:t xml:space="preserve"> das normas contidas no art. 40, inciso XVI, c/c o art. 73 inciso I e II, da Lei 14.133/21 e alterações, sendo que a conferência e o recebimento ficarão sob as responsabilidades de Servidor fiscal do contrato.</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O serviço contratado deverá ser conferido por técnicos capacitados da CONTRATADA. Se, após o recebimento provisório, constatar-se que o serviço foi entregue em desacordo com a proposta, com defeito, fora de especificação ou incompleto, após a notificação à Contratada serão interrompidos os prazos de recebimento e suspenso o pagamento, até que sanada a situação.</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O recebimento provisório ou definitivo não exclui a responsabilidade civil pela solidez e segurança do serviço, nem ético-profissional pela perfeita execução do contrato, dentro dos limites estabelecidos pela lei ou pelo contrato.</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A CONTRATADA deverá manter preposto aceito pelo CONTRATANTE para representá-la na execução do contrato.</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A CONTRATADA é obrigada a reparar, corrigir, remover, reconstruir ou substituir, às suas expensas, no total ou em parte, o objeto do contrato em que se verificarem vícios, defeitos ou incorreções resultantes da execução ou de materiais empregados.</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A CONTRATADA é responsável pelos danos causados diretamente ao CONTRATANTE ou a terceiros decorrentes de sua culpa ou dolo na execução do contrato, não excluindo ou reduzindo essa responsabilidade a fiscalização ou o acompanhamento pelo órgão interessado.</w:t>
      </w:r>
    </w:p>
    <w:p>
      <w:pPr>
        <w:pStyle w:val="normal11"/>
        <w:widowControl/>
        <w:numPr>
          <w:ilvl w:val="1"/>
          <w:numId w:val="25"/>
        </w:numPr>
        <w:pBdr/>
        <w:tabs>
          <w:tab w:val="clear" w:pos="720"/>
          <w:tab w:val="left" w:pos="851" w:leader="none"/>
        </w:tabs>
        <w:spacing w:lineRule="auto" w:line="360"/>
        <w:ind w:hanging="0" w:left="0" w:right="250"/>
        <w:jc w:val="both"/>
        <w:rPr>
          <w:rFonts w:ascii="Arial" w:hAnsi="Arial" w:eastAsia="Arial" w:cs="Arial"/>
          <w:color w:val="000000"/>
        </w:rPr>
      </w:pPr>
      <w:r>
        <w:rPr>
          <w:rFonts w:eastAsia="Arial" w:cs="Arial" w:ascii="Arial" w:hAnsi="Arial"/>
          <w:color w:val="000000"/>
        </w:rPr>
        <w:t>O CONTRATANTE rejeitará, no todo ou em parte, serviço executado em desacordo com o contrato.</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25"/>
        </w:numPr>
        <w:pBdr/>
        <w:tabs>
          <w:tab w:val="clear" w:pos="720"/>
          <w:tab w:val="left" w:pos="540" w:leader="none"/>
        </w:tabs>
        <w:spacing w:lineRule="auto" w:line="360"/>
        <w:ind w:hanging="0" w:left="284" w:right="250"/>
        <w:rPr>
          <w:rFonts w:ascii="Arial" w:hAnsi="Arial" w:eastAsia="Arial" w:cs="Arial"/>
          <w:b/>
          <w:color w:val="000000"/>
        </w:rPr>
      </w:pPr>
      <w:r>
        <w:rPr>
          <w:rFonts w:eastAsia="Arial" w:cs="Arial" w:ascii="Arial" w:hAnsi="Arial"/>
          <w:b/>
          <w:color w:val="000000"/>
        </w:rPr>
        <w:t xml:space="preserve"> </w:t>
      </w:r>
      <w:r>
        <w:rPr>
          <w:rFonts w:eastAsia="Arial" w:cs="Arial" w:ascii="Arial" w:hAnsi="Arial"/>
          <w:b/>
          <w:color w:val="000000"/>
        </w:rPr>
        <w:t>DAS SANÇÕES</w:t>
      </w:r>
    </w:p>
    <w:p>
      <w:pPr>
        <w:pStyle w:val="normal11"/>
        <w:numPr>
          <w:ilvl w:val="1"/>
          <w:numId w:val="25"/>
        </w:numPr>
        <w:pBdr/>
        <w:spacing w:lineRule="auto" w:line="360"/>
        <w:ind w:hanging="0" w:left="0" w:right="250"/>
        <w:jc w:val="both"/>
        <w:rPr>
          <w:rFonts w:ascii="Arial" w:hAnsi="Arial" w:eastAsia="Arial" w:cs="Arial"/>
          <w:color w:val="000000"/>
        </w:rPr>
      </w:pPr>
      <w:r>
        <w:rPr>
          <w:rFonts w:eastAsia="Arial" w:cs="Arial" w:ascii="Arial" w:hAnsi="Arial"/>
          <w:color w:val="000000"/>
        </w:rPr>
        <w:t>Conforme art. 155 da Lei Federal 14.133/2021, o licitante ou o contratado será responsabilizado administrativamente pelas seguintes infrações:</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 - dar causa à inexecução parcial do contrato;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 - dar causa à inexecução parcial do contrato que cause grave dano à Administração, ao funcionamento dos serviços públicos ou ao interesse coletivo;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III - dar causa à inexecução total do contrato;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IV - deixar de entregar a documentação exigida para o certame;</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V - não manter a proposta, salvo em decorrência de fato superveniente devidamente justificado;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VI - não celebrar o contrato ou não entregar a documentação exigida para a contratação, quando convocado dentro do prazo de validade de sua proposta;</w:t>
      </w:r>
    </w:p>
    <w:p>
      <w:pPr>
        <w:pStyle w:val="normal11"/>
        <w:pBdr/>
        <w:tabs>
          <w:tab w:val="clear" w:pos="720"/>
          <w:tab w:val="left" w:pos="3055" w:leader="none"/>
        </w:tabs>
        <w:spacing w:lineRule="auto" w:line="360"/>
        <w:ind w:right="250"/>
        <w:jc w:val="both"/>
        <w:rPr>
          <w:rFonts w:ascii="Arial" w:hAnsi="Arial" w:eastAsia="Arial" w:cs="Arial"/>
          <w:color w:val="000000"/>
        </w:rPr>
      </w:pPr>
      <w:r>
        <w:rPr>
          <w:rFonts w:eastAsia="Arial" w:cs="Arial" w:ascii="Arial" w:hAnsi="Arial"/>
          <w:color w:val="000000"/>
        </w:rPr>
        <w:t>VII - ensejar o retardamento da execução ou da entrega do objeto da licitação sem motivo justificado;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 xml:space="preserve">VIII - apresentar declaração ou documentação falsa exigida para o certame ou prestar declaração falsa durante a licitação ou a execução do contrato; </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 xml:space="preserve">IX - fraudar a licitação ou praticar ato fraudulento na execução do contrato; </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X - comportar-se de modo inidôneo ou cometer fraude de qualquer natureza;</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XI - praticar atos ilícitos com vistas a frustrar os objetivos da licitação;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XII - praticar ato lesivo previsto no art. 5º da Lei nº 12.846, de 1º de agosto de 2013.</w:t>
      </w:r>
    </w:p>
    <w:p>
      <w:pPr>
        <w:pStyle w:val="normal11"/>
        <w:numPr>
          <w:ilvl w:val="1"/>
          <w:numId w:val="25"/>
        </w:numPr>
        <w:pBdr/>
        <w:spacing w:lineRule="auto" w:line="360"/>
        <w:ind w:hanging="0" w:left="0" w:right="250"/>
        <w:jc w:val="both"/>
        <w:rPr>
          <w:rFonts w:ascii="Arial" w:hAnsi="Arial" w:eastAsia="Arial" w:cs="Arial"/>
          <w:color w:val="000000"/>
        </w:rPr>
      </w:pPr>
      <w:r>
        <w:rPr>
          <w:rFonts w:eastAsia="Arial" w:cs="Arial" w:ascii="Arial" w:hAnsi="Arial"/>
          <w:color w:val="000000"/>
        </w:rPr>
        <w:t>Serão</w:t>
        <w:tab/>
        <w:t>aplicadas</w:t>
        <w:tab/>
        <w:t>ao</w:t>
        <w:tab/>
        <w:t>responsável</w:t>
        <w:tab/>
        <w:t>pelas</w:t>
        <w:tab/>
        <w:t>infrações administrativas previstas na Lei 14.133/2021 as seguintes sanções:</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 xml:space="preserve">I - advertência; </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 - multa;</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III - impedimento de licitar e contratar;</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IV - declaração de inidoneidade para licitar ou contratar.</w:t>
      </w:r>
    </w:p>
    <w:p>
      <w:pPr>
        <w:pStyle w:val="normal11"/>
        <w:numPr>
          <w:ilvl w:val="1"/>
          <w:numId w:val="25"/>
        </w:numPr>
        <w:pBdr/>
        <w:spacing w:lineRule="auto" w:line="360"/>
        <w:ind w:hanging="0" w:left="0" w:right="250"/>
        <w:jc w:val="both"/>
        <w:rPr>
          <w:rFonts w:ascii="Arial" w:hAnsi="Arial" w:eastAsia="Arial" w:cs="Arial"/>
          <w:color w:val="000000"/>
        </w:rPr>
      </w:pPr>
      <w:r>
        <w:rPr>
          <w:rFonts w:eastAsia="Arial" w:cs="Arial" w:ascii="Arial" w:hAnsi="Arial"/>
          <w:color w:val="000000"/>
        </w:rPr>
        <w:t>Na aplicação das sanções serão considerados:</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 - a natureza e a gravidade da infração cometida;</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 - as peculiaridades do caso concreto;</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III- as circunstâncias agravantes ou atenuantes;</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IV- os danos que dela provierem para a Administração Pública;</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V- a implantação ou o aperfeiçoamento de programa de integridade, conforme normas e orientações dos órgãos de controle.</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20.4.</w:t>
      </w:r>
      <w:r>
        <w:rPr>
          <w:rFonts w:eastAsia="Arial" w:cs="Arial" w:ascii="Arial" w:hAnsi="Arial"/>
          <w:color w:val="000000"/>
        </w:rPr>
        <w:t xml:space="preserve"> A sanção prevista no inciso I do item 20.2 será aplicada exclusivamente pela infração administrativa prevista no inciso I do item 17.1, quando não se justificar a imposição de penalidade mais grave.</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20.5.</w:t>
      </w:r>
      <w:r>
        <w:rPr>
          <w:rFonts w:eastAsia="Arial" w:cs="Arial" w:ascii="Arial" w:hAnsi="Arial"/>
          <w:color w:val="000000"/>
        </w:rPr>
        <w:t xml:space="preserve"> A sanção prevista no inciso II do item 20.2 será calculada na forma do edital ou do contrato, e não poderá ser inferior a 0,5% (cinco décimos por cento) nem superior a 30% (trinta por cento) do valor do contrato licitado e será aplicada ao responsável por qualquer das infrações administrativas previstas no art. 155 da Lei federal 14.133/2021.</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20.6.</w:t>
      </w:r>
      <w:r>
        <w:rPr>
          <w:rFonts w:eastAsia="Arial" w:cs="Arial" w:ascii="Arial" w:hAnsi="Arial"/>
          <w:color w:val="000000"/>
        </w:rPr>
        <w:t xml:space="preserve"> A sanção prevista no inciso III do item 20.2 será aplicada ao responsável pelas infrações administrativas previstas nos incisos II, III, IV, V, VI e VII do caput do art. 155 da Lei Federal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20.7.</w:t>
      </w:r>
      <w:r>
        <w:rPr>
          <w:rFonts w:eastAsia="Arial" w:cs="Arial" w:ascii="Arial" w:hAnsi="Arial"/>
          <w:color w:val="000000"/>
        </w:rPr>
        <w:t xml:space="preserve"> A sanção prevista no inciso IV do item 20.2 será aplicada ao responsável pelas infrações administrativas previstas nos incisos VIII, IX, X, XI e XII do caput do art. 155 da Lei Federal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20.7.1.</w:t>
      </w:r>
      <w:r>
        <w:rPr>
          <w:rFonts w:eastAsia="Arial" w:cs="Arial" w:ascii="Arial" w:hAnsi="Arial"/>
          <w:color w:val="000000"/>
        </w:rPr>
        <w:t xml:space="preserve"> A sanção estabelecida no inciso IV do item 20.2 será precedida de análise jurídica e observará as seguintes regras:</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20.8.</w:t>
      </w:r>
      <w:r>
        <w:rPr>
          <w:rFonts w:eastAsia="Arial" w:cs="Arial" w:ascii="Arial" w:hAnsi="Arial"/>
          <w:color w:val="000000"/>
        </w:rPr>
        <w:t xml:space="preserve"> As sanções previstas nos incisos I, III e IV do item 20.2 poderão ser aplicadas cumulativamente com a prevista no inciso II do mesmo item.</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20.9.</w:t>
      </w:r>
      <w:r>
        <w:rPr>
          <w:rFonts w:eastAsia="Arial" w:cs="Arial" w:ascii="Arial" w:hAnsi="Arial"/>
          <w:color w:val="000000"/>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20.10.</w:t>
      </w:r>
      <w:r>
        <w:rPr>
          <w:rFonts w:eastAsia="Arial" w:cs="Arial" w:ascii="Arial" w:hAnsi="Arial"/>
          <w:color w:val="000000"/>
        </w:rPr>
        <w:t xml:space="preserve"> A aplicação das sanções previstas no item 20.2 não exclui, em hipótese alguma, a obrigação de reparação integral do dano causado à Administração Pública.</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20.11.</w:t>
      </w:r>
      <w:r>
        <w:rPr>
          <w:rFonts w:eastAsia="Arial" w:cs="Arial" w:ascii="Arial" w:hAnsi="Arial"/>
          <w:color w:val="000000"/>
        </w:rPr>
        <w:tab/>
        <w:t>Na aplicação da sanção prevista no inciso II do caput do art. 156 da Lei Federal 14.133/2021, será facultada a defesa do interessado no prazo de 15 (quinze) dias úteis, contado da data de sua intimação.</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20.12.</w:t>
      </w:r>
      <w:r>
        <w:rPr>
          <w:rFonts w:eastAsia="Arial" w:cs="Arial" w:ascii="Arial" w:hAnsi="Arial"/>
          <w:color w:val="000000"/>
        </w:rPr>
        <w:tab/>
        <w:t>A aplicação das sanções previstas nos incisos III e IV do caput do art. 156 da Lei Federal 14.133/2021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20.12.1.</w:t>
        <w:tab/>
      </w:r>
      <w:r>
        <w:rPr>
          <w:rFonts w:eastAsia="Arial" w:cs="Arial" w:ascii="Arial" w:hAnsi="Arial"/>
          <w:color w:val="000000"/>
        </w:rPr>
        <w:t>Em órgão ou entidade da Administração Pública cujo quadro funcional não seja formado de servidores estatutários, a comissão a que se refere o item 20.12. será composta de 2 (dois) ou mais empregados públicos pertencentes aos seus quadros permanentes, preferencialmente com, no mínimo, 3 (três) anos de tempo de serviço no órgão ou entidade.</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20.12.2.</w:t>
      </w:r>
      <w:r>
        <w:rPr>
          <w:rFonts w:eastAsia="Arial" w:cs="Arial" w:ascii="Arial" w:hAnsi="Arial"/>
          <w:color w:val="000000"/>
        </w:rPr>
        <w:t xml:space="preserve"> Na hipótese de deferimento de pedido de produção de novas provas ou de juntada de provas julgadas indispensáveis pela comissão, o licitante ou o contratado poderá apresentar alegações finais no prazo de 15 (quinze) dias úteis, contado da data da intimação.</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20.12.3.</w:t>
      </w:r>
      <w:r>
        <w:rPr>
          <w:rFonts w:eastAsia="Arial" w:cs="Arial" w:ascii="Arial" w:hAnsi="Arial"/>
          <w:color w:val="000000"/>
        </w:rPr>
        <w:t xml:space="preserve"> Serão indeferidas pela comissão, mediante decisão fundamentada, provas ilícitas, impertinentes, desnecessárias, protelatórias ou intempestivas.</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20.12.4.</w:t>
      </w:r>
      <w:r>
        <w:rPr>
          <w:rFonts w:eastAsia="Arial" w:cs="Arial" w:ascii="Arial" w:hAnsi="Arial"/>
          <w:color w:val="000000"/>
        </w:rPr>
        <w:t xml:space="preserve"> A prescrição ocorrerá em 5 (cinco) anos contados da ciência da infração pela Administração, e será:</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 - interrompida pela instauração do processo de responsabilização a que se refere o caput deste item;</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 - suspensa pela celebração de acordo de leniência previsto na Lei nº 12.846, de 1º de agosto de 2013;</w:t>
      </w:r>
    </w:p>
    <w:p>
      <w:pPr>
        <w:pStyle w:val="normal11"/>
        <w:pBdr/>
        <w:spacing w:lineRule="auto" w:line="360"/>
        <w:ind w:right="250"/>
        <w:jc w:val="both"/>
        <w:rPr>
          <w:rFonts w:ascii="Arial" w:hAnsi="Arial" w:eastAsia="Arial" w:cs="Arial"/>
          <w:color w:val="000000"/>
        </w:rPr>
      </w:pPr>
      <w:r>
        <w:rPr>
          <w:rFonts w:eastAsia="Arial" w:cs="Arial" w:ascii="Arial" w:hAnsi="Arial"/>
          <w:color w:val="000000"/>
        </w:rPr>
        <w:t>III - suspensa por decisão judicial que inviabilize a conclusão da apuração administrativa.</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20.13.</w:t>
      </w:r>
      <w:r>
        <w:rPr>
          <w:rFonts w:eastAsia="Arial" w:cs="Arial" w:ascii="Arial" w:hAnsi="Arial"/>
          <w:color w:val="000000"/>
        </w:rPr>
        <w:tab/>
        <w:t>Os atos previstos como infrações administrativas na Lei Federal 14.133/2021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w:t>
      </w:r>
    </w:p>
    <w:p>
      <w:pPr>
        <w:pStyle w:val="normal11"/>
        <w:pBdr/>
        <w:spacing w:lineRule="auto" w:line="360"/>
        <w:ind w:right="250"/>
        <w:jc w:val="both"/>
        <w:rPr>
          <w:rFonts w:ascii="Arial" w:hAnsi="Arial" w:eastAsia="Arial" w:cs="Arial"/>
          <w:color w:val="000000"/>
        </w:rPr>
      </w:pPr>
      <w:r>
        <w:rPr>
          <w:rFonts w:eastAsia="Arial" w:cs="Arial" w:ascii="Arial" w:hAnsi="Arial"/>
          <w:b/>
          <w:color w:val="000000"/>
        </w:rPr>
        <w:t>20.14.</w:t>
      </w:r>
      <w:r>
        <w:rPr>
          <w:rFonts w:eastAsia="Arial" w:cs="Arial" w:ascii="Arial" w:hAnsi="Arial"/>
          <w:color w:val="000000"/>
        </w:rPr>
        <w:tab/>
        <w:t>As multas e demais sanções aqui previstas serão aplicadas sem prejuízo das sanções civis ou penais cabíveis ou de processo administrativo;</w:t>
      </w:r>
    </w:p>
    <w:p>
      <w:pPr>
        <w:pStyle w:val="normal11"/>
        <w:pBdr/>
        <w:spacing w:lineRule="auto" w:line="360"/>
        <w:ind w:left="284" w:right="250"/>
        <w:rPr>
          <w:rFonts w:ascii="Arial" w:hAnsi="Arial" w:eastAsia="Arial" w:cs="Arial"/>
          <w:color w:val="000000"/>
        </w:rPr>
      </w:pPr>
      <w:r>
        <w:rPr>
          <w:rFonts w:eastAsia="Arial" w:cs="Arial" w:ascii="Arial" w:hAnsi="Arial"/>
          <w:color w:val="000000"/>
        </w:rPr>
      </w:r>
    </w:p>
    <w:p>
      <w:pPr>
        <w:pStyle w:val="normal11"/>
        <w:numPr>
          <w:ilvl w:val="0"/>
          <w:numId w:val="25"/>
        </w:numPr>
        <w:pBdr/>
        <w:tabs>
          <w:tab w:val="clear" w:pos="720"/>
          <w:tab w:val="left" w:pos="540" w:leader="none"/>
        </w:tabs>
        <w:spacing w:lineRule="auto" w:line="360"/>
        <w:ind w:hanging="0" w:left="284" w:right="250"/>
        <w:jc w:val="both"/>
        <w:rPr>
          <w:rFonts w:ascii="Arial" w:hAnsi="Arial" w:eastAsia="Arial" w:cs="Arial"/>
          <w:b/>
          <w:color w:val="000000"/>
        </w:rPr>
      </w:pPr>
      <w:r>
        <w:rPr>
          <w:rFonts w:eastAsia="Arial" w:cs="Arial" w:ascii="Arial" w:hAnsi="Arial"/>
          <w:b/>
          <w:color w:val="000000"/>
        </w:rPr>
        <w:t>DAS DISPOSIÇÕES FINAIS</w:t>
      </w:r>
    </w:p>
    <w:p>
      <w:pPr>
        <w:pStyle w:val="normal11"/>
        <w:numPr>
          <w:ilvl w:val="1"/>
          <w:numId w:val="25"/>
        </w:numPr>
        <w:pBdr/>
        <w:tabs>
          <w:tab w:val="clear" w:pos="720"/>
          <w:tab w:val="left" w:pos="740" w:leader="none"/>
        </w:tabs>
        <w:spacing w:lineRule="auto" w:line="360"/>
        <w:ind w:hanging="0" w:left="0" w:right="250"/>
        <w:jc w:val="both"/>
        <w:rPr>
          <w:rFonts w:ascii="Arial" w:hAnsi="Arial" w:eastAsia="Arial" w:cs="Arial"/>
          <w:color w:val="000000"/>
        </w:rPr>
      </w:pPr>
      <w:r>
        <w:rPr>
          <w:rFonts w:eastAsia="Arial" w:cs="Arial" w:ascii="Arial" w:hAnsi="Arial"/>
          <w:b/>
          <w:color w:val="000000"/>
        </w:rPr>
        <w:t xml:space="preserve"> </w:t>
      </w:r>
      <w:r>
        <w:rPr>
          <w:rFonts w:eastAsia="Arial" w:cs="Arial" w:ascii="Arial" w:hAnsi="Arial"/>
          <w:color w:val="000000"/>
        </w:rPr>
        <w:t xml:space="preserve">Os pedidos de esclarecimentos referentes ao processo licitatório deverão ser enviados ao Agente de Contratação, exclusivamente por meio eletrônico, até 03 (três) dias úteis anteriores à data fixada para abertura da sessão pública, pelo e-mail </w:t>
      </w:r>
      <w:hyperlink r:id="rId14">
        <w:r>
          <w:rPr>
            <w:rStyle w:val="Style3"/>
            <w:rFonts w:eastAsia="Arial" w:cs="Arial" w:ascii="Arial" w:hAnsi="Arial"/>
            <w:color w:val="000000"/>
            <w:u w:val="single"/>
          </w:rPr>
          <w:t>gerencialicitacao@pmf.sc.gov.br</w:t>
        </w:r>
      </w:hyperlink>
      <w:r>
        <w:rPr>
          <w:rFonts w:eastAsia="Arial" w:cs="Arial" w:ascii="Arial" w:hAnsi="Arial"/>
          <w:color w:val="000000"/>
        </w:rPr>
        <w:t>, conforme estabelece o art. 164 da Lei Federal 14.133/21.</w:t>
      </w:r>
    </w:p>
    <w:p>
      <w:pPr>
        <w:pStyle w:val="normal11"/>
        <w:numPr>
          <w:ilvl w:val="2"/>
          <w:numId w:val="25"/>
        </w:numPr>
        <w:pBdr/>
        <w:tabs>
          <w:tab w:val="clear" w:pos="720"/>
          <w:tab w:val="left" w:pos="916"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 xml:space="preserve">O Agente de Contratação responderá aos pedidos de esclarecimentos no prazo de até 03 (três) dias úteis, limitado ao último dia útil anterior à data da abertura do certame, contado da data de recebimento do pedido, e ficarão disponíveis para todos os interessados nos endereços eletrônicos:  </w:t>
      </w:r>
      <w:hyperlink r:id="rId15">
        <w:r>
          <w:rPr>
            <w:rStyle w:val="Style3"/>
            <w:rFonts w:eastAsia="Arial" w:cs="Arial" w:ascii="Arial" w:hAnsi="Arial"/>
            <w:b/>
            <w:color w:val="000000"/>
          </w:rPr>
          <w:t>www.pmf.sc.gov.br</w:t>
        </w:r>
      </w:hyperlink>
      <w:r>
        <w:rPr>
          <w:rFonts w:eastAsia="Arial" w:cs="Arial" w:ascii="Arial" w:hAnsi="Arial"/>
          <w:b/>
          <w:color w:val="000000"/>
        </w:rPr>
        <w:t xml:space="preserve">  e  </w:t>
      </w:r>
      <w:hyperlink r:id="rId16">
        <w:r>
          <w:rPr>
            <w:rStyle w:val="Style3"/>
            <w:rFonts w:eastAsia="Arial" w:cs="Arial" w:ascii="Arial" w:hAnsi="Arial"/>
            <w:b/>
            <w:color w:val="000000"/>
          </w:rPr>
          <w:t>www.gov.br/compras/pt-br.</w:t>
        </w:r>
      </w:hyperlink>
    </w:p>
    <w:p>
      <w:pPr>
        <w:pStyle w:val="normal11"/>
        <w:numPr>
          <w:ilvl w:val="1"/>
          <w:numId w:val="25"/>
        </w:numPr>
        <w:pBdr/>
        <w:tabs>
          <w:tab w:val="clear" w:pos="720"/>
          <w:tab w:val="left" w:pos="768"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 xml:space="preserve">Os pedidos de vistas acerca da presente licitação para os participantes do processo deverão ser realizados pelo e-mail </w:t>
      </w:r>
      <w:hyperlink r:id="rId17">
        <w:r>
          <w:rPr>
            <w:rStyle w:val="Style3"/>
            <w:rFonts w:eastAsia="Arial" w:cs="Arial" w:ascii="Arial" w:hAnsi="Arial"/>
            <w:color w:val="000000"/>
            <w:u w:val="single"/>
          </w:rPr>
          <w:t>gerencialicitacao@pmf.sc.gov.br</w:t>
        </w:r>
      </w:hyperlink>
      <w:r>
        <w:rPr>
          <w:rFonts w:eastAsia="Arial" w:cs="Arial" w:ascii="Arial" w:hAnsi="Arial"/>
          <w:color w:val="000000"/>
        </w:rPr>
        <w:t>.</w:t>
      </w:r>
    </w:p>
    <w:p>
      <w:pPr>
        <w:pStyle w:val="normal11"/>
        <w:numPr>
          <w:ilvl w:val="1"/>
          <w:numId w:val="25"/>
        </w:numPr>
        <w:pBdr/>
        <w:tabs>
          <w:tab w:val="clear" w:pos="720"/>
          <w:tab w:val="left" w:pos="763" w:leader="none"/>
        </w:tabs>
        <w:spacing w:lineRule="auto" w:line="360"/>
        <w:ind w:hanging="0" w:left="0" w:right="250"/>
        <w:jc w:val="both"/>
        <w:rPr>
          <w:rFonts w:ascii="Arial" w:hAnsi="Arial" w:eastAsia="Arial" w:cs="Arial"/>
          <w:color w:val="000000"/>
        </w:rPr>
      </w:pPr>
      <w:r>
        <w:rPr>
          <w:rFonts w:eastAsia="Arial" w:cs="Arial" w:ascii="Arial" w:hAnsi="Arial"/>
          <w:color w:val="000000"/>
        </w:rPr>
        <w:t>É facultado ao Agente de Contratação ou à autoridade superior, em qualquer fase desta licitação, promover diligência destinada a esclarecer ou complementar a instrução do processo, nos termos do art. 64, da Lei n º 14.133/21.</w:t>
      </w:r>
    </w:p>
    <w:p>
      <w:pPr>
        <w:pStyle w:val="normal11"/>
        <w:numPr>
          <w:ilvl w:val="2"/>
          <w:numId w:val="25"/>
        </w:numPr>
        <w:pBdr/>
        <w:tabs>
          <w:tab w:val="clear" w:pos="720"/>
          <w:tab w:val="left" w:pos="975"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Havendo a necessidade de envio de documentos complementares necessários à confirmação daqueles exigidos neste Edital e já apresentados, o proponente será convocado a encaminhá-los, via sistema, sob pena de desclassificação/inabilitação, no prazo mínimo de 2 (duas) horas, conforme estabelecido pelo Agente de Contratação no momento da convocação.</w:t>
      </w:r>
    </w:p>
    <w:p>
      <w:pPr>
        <w:pStyle w:val="normal11"/>
        <w:numPr>
          <w:ilvl w:val="2"/>
          <w:numId w:val="25"/>
        </w:numPr>
        <w:pBdr/>
        <w:tabs>
          <w:tab w:val="clear" w:pos="720"/>
          <w:tab w:val="left" w:pos="919" w:leader="none"/>
        </w:tabs>
        <w:spacing w:lineRule="auto" w:line="360"/>
        <w:ind w:hanging="0" w:left="0" w:right="250"/>
        <w:jc w:val="both"/>
        <w:rPr>
          <w:rFonts w:ascii="Arial" w:hAnsi="Arial" w:eastAsia="Arial" w:cs="Arial"/>
          <w:color w:val="000000"/>
        </w:rPr>
      </w:pPr>
      <w:r>
        <w:rPr>
          <w:rFonts w:eastAsia="Arial" w:cs="Arial" w:ascii="Arial" w:hAnsi="Arial"/>
          <w:color w:val="000000"/>
        </w:rPr>
        <w:t>As normas disciplinadoras da licitação serão sempre interpretadas em favor da ampliação da disputa entre os participantes, desde que não comprometam o interesse da Administração, a finalidade e a segurança da contratação.</w:t>
      </w:r>
    </w:p>
    <w:p>
      <w:pPr>
        <w:pStyle w:val="normal11"/>
        <w:numPr>
          <w:ilvl w:val="1"/>
          <w:numId w:val="25"/>
        </w:numPr>
        <w:pBdr/>
        <w:tabs>
          <w:tab w:val="clear" w:pos="720"/>
          <w:tab w:val="left" w:pos="724" w:leader="none"/>
        </w:tabs>
        <w:spacing w:lineRule="auto" w:line="360"/>
        <w:ind w:hanging="0" w:left="0" w:right="250"/>
        <w:jc w:val="both"/>
        <w:rPr>
          <w:rFonts w:ascii="Arial" w:hAnsi="Arial" w:eastAsia="Arial" w:cs="Arial"/>
          <w:color w:val="000000"/>
        </w:rPr>
      </w:pPr>
      <w:r>
        <w:rPr>
          <w:rFonts w:eastAsia="Arial" w:cs="Arial" w:ascii="Arial" w:hAnsi="Arial"/>
          <w:color w:val="000000"/>
        </w:rPr>
        <w:t>O proponente que vier a ser contratado ficará obrigado a aceitar, nas mesmas condições contratuais, os acréscimos ou supressões sobre o valor inicial do contrato que se fizerem necessários, por conveniência do Contratante, dentro do limite permitido pelo art 125 da Lei nº 14.133/21.</w:t>
      </w:r>
    </w:p>
    <w:p>
      <w:pPr>
        <w:pStyle w:val="normal11"/>
        <w:numPr>
          <w:ilvl w:val="1"/>
          <w:numId w:val="25"/>
        </w:numPr>
        <w:pBdr/>
        <w:tabs>
          <w:tab w:val="clear" w:pos="720"/>
          <w:tab w:val="left" w:pos="724" w:leader="none"/>
        </w:tabs>
        <w:spacing w:lineRule="auto" w:line="360"/>
        <w:ind w:hanging="0" w:left="0" w:right="250"/>
        <w:jc w:val="both"/>
        <w:rPr>
          <w:rFonts w:ascii="Arial" w:hAnsi="Arial" w:eastAsia="Arial" w:cs="Arial"/>
          <w:color w:val="000000"/>
        </w:rPr>
      </w:pPr>
      <w:r>
        <w:rPr>
          <w:rFonts w:eastAsia="Arial" w:cs="Arial" w:ascii="Arial" w:hAnsi="Arial"/>
          <w:color w:val="000000"/>
        </w:rPr>
        <w:t>É facultado à proponente visitar o local da obra, não podendo posteriormente alegar desconhecimento.</w:t>
      </w:r>
    </w:p>
    <w:p>
      <w:pPr>
        <w:pStyle w:val="normal11"/>
        <w:numPr>
          <w:ilvl w:val="1"/>
          <w:numId w:val="25"/>
        </w:numPr>
        <w:pBdr/>
        <w:tabs>
          <w:tab w:val="clear" w:pos="720"/>
          <w:tab w:val="left" w:pos="732" w:leader="none"/>
        </w:tabs>
        <w:spacing w:lineRule="auto" w:line="360"/>
        <w:ind w:hanging="0" w:left="0" w:right="250"/>
        <w:jc w:val="both"/>
        <w:rPr>
          <w:rFonts w:ascii="Arial" w:hAnsi="Arial" w:eastAsia="Arial" w:cs="Arial"/>
          <w:color w:val="000000"/>
        </w:rPr>
      </w:pPr>
      <w:r>
        <w:rPr>
          <w:rFonts w:eastAsia="Arial" w:cs="Arial" w:ascii="Arial" w:hAnsi="Arial"/>
          <w:color w:val="000000"/>
        </w:rPr>
        <w:t>A Secretaria Municipal de Infraestrutura e Transporte poderá revogar a presente Concorrência por razões de interesse público decorrente de fato superveniente devidamente comprovado, pertinente e suficiente para justificar o ato, ou anulá-lo por ilegalidade, de ofício ou por provocação de terceiros, mediante parecer escrito e devidamente fundamentado.</w:t>
      </w:r>
    </w:p>
    <w:p>
      <w:pPr>
        <w:pStyle w:val="normal11"/>
        <w:numPr>
          <w:ilvl w:val="1"/>
          <w:numId w:val="25"/>
        </w:numPr>
        <w:pBdr/>
        <w:tabs>
          <w:tab w:val="clear" w:pos="720"/>
          <w:tab w:val="left" w:pos="733" w:leader="none"/>
        </w:tabs>
        <w:spacing w:lineRule="auto" w:line="360"/>
        <w:ind w:hanging="0" w:left="0" w:right="250"/>
        <w:jc w:val="both"/>
        <w:rPr>
          <w:rFonts w:ascii="Arial" w:hAnsi="Arial" w:eastAsia="Arial" w:cs="Arial"/>
          <w:color w:val="000000"/>
        </w:rPr>
      </w:pPr>
      <w:r>
        <w:rPr>
          <w:rFonts w:eastAsia="Arial" w:cs="Arial" w:ascii="Arial" w:hAnsi="Arial"/>
          <w:color w:val="000000"/>
        </w:rPr>
        <w:t>O presente Edital e seus Anexos poderão ser alterados pela Administração antes de aberta a licitação, no interesse público, por sua iniciativa ou decorrente de provocação de terceiros, atendido o que estabelece o art.55, § 1º, da Lei 14.133/21, bem como adiar ou prorrogar o prazo para recebimento e/ou a abertura das Propostas e Documentos de Habilitação.</w:t>
      </w:r>
    </w:p>
    <w:p>
      <w:pPr>
        <w:pStyle w:val="normal11"/>
        <w:numPr>
          <w:ilvl w:val="1"/>
          <w:numId w:val="25"/>
        </w:numPr>
        <w:pBdr/>
        <w:tabs>
          <w:tab w:val="clear" w:pos="720"/>
          <w:tab w:val="left" w:pos="735" w:leader="none"/>
        </w:tabs>
        <w:spacing w:lineRule="auto" w:line="360"/>
        <w:ind w:hanging="0" w:left="0" w:right="250"/>
        <w:jc w:val="both"/>
        <w:rPr>
          <w:rFonts w:ascii="Arial" w:hAnsi="Arial" w:eastAsia="Arial" w:cs="Arial"/>
          <w:color w:val="000000"/>
        </w:rPr>
      </w:pPr>
      <w:r>
        <w:rPr>
          <w:rFonts w:eastAsia="Arial" w:cs="Arial" w:ascii="Arial" w:hAnsi="Arial"/>
          <w:color w:val="000000"/>
        </w:rPr>
        <w:t>Ficam vinculados a este Edital e seus anexos as propostas de preços e demais documentos constantes dos presentes autos, dele não podendo se afastar durante a sua vigência;</w:t>
      </w:r>
    </w:p>
    <w:p>
      <w:pPr>
        <w:pStyle w:val="normal11"/>
        <w:numPr>
          <w:ilvl w:val="1"/>
          <w:numId w:val="25"/>
        </w:numPr>
        <w:pBdr/>
        <w:tabs>
          <w:tab w:val="clear" w:pos="720"/>
          <w:tab w:val="left" w:pos="724" w:leader="none"/>
        </w:tabs>
        <w:spacing w:lineRule="auto" w:line="360"/>
        <w:ind w:hanging="0" w:left="0" w:right="250"/>
        <w:jc w:val="both"/>
        <w:rPr>
          <w:rFonts w:ascii="Arial" w:hAnsi="Arial" w:eastAsia="Arial" w:cs="Arial"/>
          <w:color w:val="000000"/>
        </w:rPr>
      </w:pPr>
      <w:r>
        <w:rPr>
          <w:rFonts w:eastAsia="Arial" w:cs="Arial" w:ascii="Arial" w:hAnsi="Arial"/>
          <w:color w:val="000000"/>
        </w:rPr>
        <w:t>Serão aplicadas, em caso de vício ou defeito, além da Lei de Licitações, as disposições contidas no Código de Defesa do Consumidor – Lei nº 8.078/90, inclusive no que concerne a garantia, prazo para atendimento da assistência técnica e demais normas disciplinadoras da matéria.</w:t>
      </w:r>
    </w:p>
    <w:p>
      <w:pPr>
        <w:pStyle w:val="normal11"/>
        <w:numPr>
          <w:ilvl w:val="1"/>
          <w:numId w:val="25"/>
        </w:numPr>
        <w:pBdr/>
        <w:tabs>
          <w:tab w:val="clear" w:pos="720"/>
          <w:tab w:val="left" w:pos="915"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 </w:t>
      </w:r>
      <w:r>
        <w:rPr>
          <w:rFonts w:eastAsia="Arial" w:cs="Arial" w:ascii="Arial" w:hAnsi="Arial"/>
          <w:color w:val="000000"/>
        </w:rPr>
        <w:t>Nenhuma indenização será devida aos proponentes pela elaboração ou pela apresentação de documentação referente ao presente Edital.</w:t>
      </w:r>
    </w:p>
    <w:p>
      <w:pPr>
        <w:pStyle w:val="normal11"/>
        <w:numPr>
          <w:ilvl w:val="1"/>
          <w:numId w:val="25"/>
        </w:numPr>
        <w:pBdr/>
        <w:tabs>
          <w:tab w:val="clear" w:pos="720"/>
          <w:tab w:val="left" w:pos="881" w:leader="none"/>
        </w:tabs>
        <w:spacing w:lineRule="auto" w:line="360"/>
        <w:ind w:hanging="0" w:left="0" w:right="250"/>
        <w:jc w:val="both"/>
        <w:rPr>
          <w:rFonts w:ascii="Arial" w:hAnsi="Arial" w:eastAsia="Arial" w:cs="Arial"/>
          <w:color w:val="000000"/>
        </w:rPr>
      </w:pPr>
      <w:r>
        <w:rPr>
          <w:rFonts w:eastAsia="Arial" w:cs="Arial" w:ascii="Arial" w:hAnsi="Arial"/>
          <w:color w:val="000000"/>
        </w:rPr>
        <w:t>A participação na presente licitação implicará na aceitação integral e irretratável dos termos deste Edital, seus anexos, bem como a observância dos regulamentos administrativos.</w:t>
      </w:r>
    </w:p>
    <w:p>
      <w:pPr>
        <w:pStyle w:val="normal11"/>
        <w:numPr>
          <w:ilvl w:val="1"/>
          <w:numId w:val="25"/>
        </w:numPr>
        <w:pBdr/>
        <w:tabs>
          <w:tab w:val="clear" w:pos="720"/>
          <w:tab w:val="left" w:pos="847" w:leader="none"/>
        </w:tabs>
        <w:spacing w:lineRule="auto" w:line="360"/>
        <w:ind w:hanging="0" w:left="0" w:right="250"/>
        <w:jc w:val="both"/>
        <w:rPr>
          <w:rFonts w:ascii="Arial" w:hAnsi="Arial" w:eastAsia="Arial" w:cs="Arial"/>
          <w:color w:val="000000"/>
        </w:rPr>
      </w:pPr>
      <w:r>
        <w:rPr>
          <w:rFonts w:eastAsia="Arial" w:cs="Arial" w:ascii="Arial" w:hAnsi="Arial"/>
          <w:color w:val="000000"/>
        </w:rPr>
        <w:t xml:space="preserve">Todas as informações/alterações relativas ao presente certame serão postadas nos endereços eletrônicos: </w:t>
      </w:r>
      <w:hyperlink r:id="rId18">
        <w:r>
          <w:rPr>
            <w:rStyle w:val="Style3"/>
            <w:rFonts w:eastAsia="Arial" w:cs="Arial" w:ascii="Arial" w:hAnsi="Arial"/>
            <w:color w:val="000000"/>
            <w:u w:val="single"/>
          </w:rPr>
          <w:t>www.pmf.sc.gov.br</w:t>
        </w:r>
      </w:hyperlink>
      <w:r>
        <w:rPr>
          <w:rFonts w:eastAsia="Arial" w:cs="Arial" w:ascii="Arial" w:hAnsi="Arial"/>
          <w:color w:val="000000"/>
        </w:rPr>
        <w:t xml:space="preserve"> e </w:t>
      </w:r>
      <w:hyperlink r:id="rId19">
        <w:r>
          <w:rPr>
            <w:rStyle w:val="Style3"/>
            <w:rFonts w:eastAsia="Arial" w:cs="Arial" w:ascii="Arial" w:hAnsi="Arial"/>
            <w:color w:val="000000"/>
            <w:u w:val="single"/>
          </w:rPr>
          <w:t>www.gov.br/compras/pt-b</w:t>
        </w:r>
      </w:hyperlink>
      <w:r>
        <w:rPr>
          <w:rFonts w:eastAsia="Arial" w:cs="Arial" w:ascii="Arial" w:hAnsi="Arial"/>
          <w:color w:val="000000"/>
          <w:u w:val="single"/>
        </w:rPr>
        <w:t>r</w:t>
      </w:r>
      <w:r>
        <w:rPr>
          <w:rFonts w:eastAsia="Arial" w:cs="Arial" w:ascii="Arial" w:hAnsi="Arial"/>
          <w:color w:val="000000"/>
        </w:rPr>
        <w:t>, sendo de exclusiva responsabilidade do interessado o seu acompanhamento.</w:t>
      </w:r>
    </w:p>
    <w:p>
      <w:pPr>
        <w:pStyle w:val="normal11"/>
        <w:keepNext w:val="true"/>
        <w:widowControl/>
        <w:numPr>
          <w:ilvl w:val="4"/>
          <w:numId w:val="21"/>
        </w:numPr>
        <w:pBdr/>
        <w:spacing w:lineRule="auto" w:line="360"/>
        <w:ind w:hanging="1008" w:left="0"/>
        <w:jc w:val="right"/>
        <w:rPr>
          <w:rFonts w:ascii="Arial" w:hAnsi="Arial" w:eastAsia="Arial" w:cs="Arial"/>
          <w:b/>
          <w:color w:val="000000"/>
        </w:rPr>
      </w:pPr>
      <w:r>
        <w:rPr>
          <w:rFonts w:eastAsia="Arial" w:cs="Arial" w:ascii="Arial" w:hAnsi="Arial"/>
          <w:color w:val="000000"/>
        </w:rPr>
        <w:t>Florianópolis, 1</w:t>
      </w:r>
      <w:r>
        <w:rPr>
          <w:rFonts w:eastAsia="Arial" w:cs="Arial" w:ascii="Arial" w:hAnsi="Arial"/>
          <w:color w:val="000000"/>
        </w:rPr>
        <w:t>6</w:t>
      </w:r>
      <w:r>
        <w:rPr>
          <w:rFonts w:eastAsia="Arial" w:cs="Arial" w:ascii="Arial" w:hAnsi="Arial"/>
          <w:color w:val="000000"/>
        </w:rPr>
        <w:t xml:space="preserve"> de setembro de 202</w:t>
      </w:r>
      <w:r>
        <w:rPr>
          <w:rFonts w:eastAsia="Arial" w:cs="Arial" w:ascii="Arial" w:hAnsi="Arial"/>
        </w:rPr>
        <w:t>5</w:t>
      </w:r>
      <w:r>
        <w:rPr>
          <w:rFonts w:eastAsia="Arial" w:cs="Arial" w:ascii="Arial" w:hAnsi="Arial"/>
          <w:color w:val="000000"/>
        </w:rPr>
        <w:t>.</w:t>
      </w:r>
    </w:p>
    <w:p>
      <w:pPr>
        <w:pStyle w:val="normal11"/>
        <w:keepNext w:val="true"/>
        <w:widowControl/>
        <w:numPr>
          <w:ilvl w:val="1"/>
          <w:numId w:val="21"/>
        </w:numPr>
        <w:pBdr/>
        <w:spacing w:lineRule="auto" w:line="360"/>
        <w:jc w:val="center"/>
        <w:rPr>
          <w:rFonts w:ascii="Arial" w:hAnsi="Arial" w:eastAsia="Arial" w:cs="Arial"/>
          <w:b/>
          <w:color w:val="000000"/>
        </w:rPr>
      </w:pPr>
      <w:r>
        <w:rPr>
          <w:rFonts w:eastAsia="Arial" w:cs="Arial" w:ascii="Arial" w:hAnsi="Arial"/>
          <w:b/>
          <w:color w:val="000000"/>
        </w:rPr>
      </w:r>
    </w:p>
    <w:p>
      <w:pPr>
        <w:pStyle w:val="normal11"/>
        <w:keepNext w:val="true"/>
        <w:widowControl/>
        <w:numPr>
          <w:ilvl w:val="4"/>
          <w:numId w:val="21"/>
        </w:numPr>
        <w:pBdr/>
        <w:spacing w:lineRule="auto" w:line="360"/>
        <w:ind w:hanging="1009" w:left="0"/>
        <w:jc w:val="center"/>
        <w:rPr>
          <w:rFonts w:ascii="Arial" w:hAnsi="Arial" w:eastAsia="Arial" w:cs="Arial"/>
          <w:b/>
          <w:color w:val="000000"/>
        </w:rPr>
      </w:pPr>
      <w:r>
        <w:rPr>
          <w:rFonts w:eastAsia="Arial" w:cs="Arial" w:ascii="Arial" w:hAnsi="Arial"/>
          <w:b/>
          <w:color w:val="000000"/>
        </w:rPr>
        <w:t>_____________________________</w:t>
      </w:r>
    </w:p>
    <w:p>
      <w:pPr>
        <w:pStyle w:val="normal1"/>
        <w:pBdr/>
        <w:jc w:val="center"/>
        <w:rPr>
          <w:rFonts w:ascii="Arial" w:hAnsi="Arial" w:eastAsia="Arial" w:cs="Arial"/>
          <w:b/>
          <w:color w:val="000000"/>
        </w:rPr>
      </w:pPr>
      <w:r>
        <w:rPr>
          <w:rFonts w:eastAsia="Arial" w:cs="Arial" w:ascii="Arial" w:hAnsi="Arial"/>
          <w:b/>
          <w:color w:val="000000"/>
        </w:rPr>
        <w:t>ALMIR ADIR GENTIL</w:t>
      </w:r>
    </w:p>
    <w:p>
      <w:pPr>
        <w:pStyle w:val="normal11"/>
        <w:keepNext w:val="true"/>
        <w:widowControl/>
        <w:numPr>
          <w:ilvl w:val="4"/>
          <w:numId w:val="21"/>
        </w:numPr>
        <w:pBdr/>
        <w:ind w:hanging="1009" w:left="0"/>
        <w:jc w:val="center"/>
        <w:rPr>
          <w:rFonts w:ascii="Arial" w:hAnsi="Arial" w:eastAsia="Arial" w:cs="Arial"/>
          <w:color w:val="000000"/>
        </w:rPr>
      </w:pPr>
      <w:r>
        <w:rPr>
          <w:rFonts w:eastAsia="Arial" w:cs="Arial" w:ascii="Arial" w:hAnsi="Arial"/>
          <w:color w:val="000000"/>
        </w:rPr>
        <w:t>Secretaria Municipal de Saúde</w:t>
      </w:r>
    </w:p>
    <w:p>
      <w:pPr>
        <w:pStyle w:val="normal11"/>
        <w:pBdr/>
        <w:spacing w:lineRule="auto" w:line="360"/>
        <w:rPr>
          <w:rFonts w:ascii="Arial" w:hAnsi="Arial" w:eastAsia="Arial" w:cs="Arial"/>
          <w:color w:val="000000"/>
        </w:rPr>
      </w:pPr>
      <w:r>
        <w:rPr>
          <w:rFonts w:eastAsia="Arial" w:cs="Arial" w:ascii="Arial" w:hAnsi="Arial"/>
          <w:color w:val="000000"/>
        </w:rPr>
      </w:r>
    </w:p>
    <w:p>
      <w:pPr>
        <w:pStyle w:val="normal11"/>
        <w:pBdr/>
        <w:spacing w:lineRule="auto" w:line="360" w:before="1" w:after="0"/>
        <w:ind w:right="9"/>
        <w:jc w:val="center"/>
        <w:rPr>
          <w:rFonts w:ascii="Arial" w:hAnsi="Arial" w:eastAsia="Arial" w:cs="Arial"/>
          <w:b/>
          <w:color w:val="000000"/>
        </w:rPr>
      </w:pPr>
      <w:r>
        <w:rPr>
          <w:rFonts w:eastAsia="Arial" w:cs="Arial" w:ascii="Arial" w:hAnsi="Arial"/>
          <w:b/>
          <w:color w:val="000000"/>
        </w:rPr>
      </w:r>
    </w:p>
    <w:p>
      <w:pPr>
        <w:pStyle w:val="normal11"/>
        <w:spacing w:lineRule="auto" w:line="360" w:before="1" w:after="0"/>
        <w:ind w:right="9"/>
        <w:jc w:val="center"/>
        <w:rPr>
          <w:rFonts w:ascii="Arial" w:hAnsi="Arial" w:eastAsia="Arial" w:cs="Arial"/>
          <w:b/>
        </w:rPr>
      </w:pPr>
      <w:r>
        <w:rPr>
          <w:rFonts w:eastAsia="Arial" w:cs="Arial" w:ascii="Arial" w:hAnsi="Arial"/>
          <w:b/>
        </w:rPr>
        <w:t>ANEXO I – TERMO DE REFERÊNCIA</w:t>
      </w:r>
    </w:p>
    <w:p>
      <w:pPr>
        <w:pStyle w:val="normal11"/>
        <w:spacing w:lineRule="auto" w:line="360" w:before="4" w:after="0"/>
        <w:rPr>
          <w:rFonts w:ascii="Arial" w:hAnsi="Arial" w:eastAsia="Arial" w:cs="Arial"/>
          <w:b/>
        </w:rPr>
      </w:pPr>
      <w:r>
        <w:rPr>
          <w:rFonts w:eastAsia="Arial" w:cs="Arial" w:ascii="Arial" w:hAnsi="Arial"/>
          <w:b/>
        </w:rPr>
      </w:r>
    </w:p>
    <w:p>
      <w:pPr>
        <w:pStyle w:val="normal11"/>
        <w:spacing w:lineRule="auto" w:line="360"/>
        <w:jc w:val="center"/>
        <w:rPr>
          <w:rFonts w:ascii="Arial" w:hAnsi="Arial" w:eastAsia="Arial" w:cs="Arial"/>
          <w:b/>
        </w:rPr>
      </w:pPr>
      <w:bookmarkStart w:id="0" w:name="_heading=h.30j0zll"/>
      <w:bookmarkEnd w:id="0"/>
      <w:r>
        <w:rPr>
          <w:rFonts w:eastAsia="Arial" w:cs="Arial" w:ascii="Arial" w:hAnsi="Arial"/>
          <w:b/>
        </w:rPr>
        <w:t>Descrição da Especificação do Item</w:t>
      </w:r>
    </w:p>
    <w:p>
      <w:pPr>
        <w:pStyle w:val="normal11"/>
        <w:spacing w:lineRule="auto" w:line="360"/>
        <w:jc w:val="center"/>
        <w:rPr>
          <w:rFonts w:ascii="Arial" w:hAnsi="Arial" w:eastAsia="Arial" w:cs="Arial"/>
          <w:b/>
        </w:rPr>
      </w:pPr>
      <w:r>
        <w:rPr>
          <w:rFonts w:eastAsia="Arial" w:cs="Arial" w:ascii="Arial" w:hAnsi="Arial"/>
          <w:b/>
        </w:rPr>
      </w:r>
    </w:p>
    <w:tbl>
      <w:tblPr>
        <w:tblStyle w:val="9"/>
        <w:tblW w:w="10560" w:type="dxa"/>
        <w:jc w:val="left"/>
        <w:tblInd w:w="146" w:type="dxa"/>
        <w:tblLayout w:type="fixed"/>
        <w:tblCellMar>
          <w:top w:w="0" w:type="dxa"/>
          <w:left w:w="5" w:type="dxa"/>
          <w:bottom w:w="0" w:type="dxa"/>
          <w:right w:w="5" w:type="dxa"/>
        </w:tblCellMar>
        <w:tblLook w:val="0000"/>
      </w:tblPr>
      <w:tblGrid>
        <w:gridCol w:w="689"/>
        <w:gridCol w:w="7965"/>
        <w:gridCol w:w="1906"/>
      </w:tblGrid>
      <w:tr>
        <w:trPr>
          <w:tblHeader w:val="true"/>
          <w:trHeight w:val="216" w:hRule="atLeast"/>
          <w:cantSplit w:val="true"/>
        </w:trPr>
        <w:tc>
          <w:tcPr>
            <w:tcW w:w="689" w:type="dxa"/>
            <w:tcBorders>
              <w:top w:val="single" w:sz="4" w:space="0" w:color="000000"/>
              <w:left w:val="single" w:sz="4" w:space="0" w:color="000000"/>
              <w:bottom w:val="single" w:sz="4" w:space="0" w:color="000000"/>
              <w:right w:val="single" w:sz="4" w:space="0" w:color="000000"/>
            </w:tcBorders>
            <w:vAlign w:val="center"/>
          </w:tcPr>
          <w:p>
            <w:pPr>
              <w:pStyle w:val="normal11"/>
              <w:widowControl/>
              <w:spacing w:lineRule="auto" w:line="360" w:before="0" w:after="0"/>
              <w:ind w:left="43"/>
              <w:jc w:val="center"/>
              <w:rPr>
                <w:b/>
              </w:rPr>
            </w:pPr>
            <w:r>
              <w:rPr>
                <w:rFonts w:eastAsia="Times New Roman" w:cs="Times New Roman"/>
                <w:b/>
                <w:kern w:val="0"/>
                <w:sz w:val="22"/>
                <w:szCs w:val="22"/>
                <w:lang w:val="pt-BR" w:eastAsia="pt-BR" w:bidi="ar-SA"/>
              </w:rPr>
              <w:t>Item</w:t>
            </w:r>
          </w:p>
        </w:tc>
        <w:tc>
          <w:tcPr>
            <w:tcW w:w="7965" w:type="dxa"/>
            <w:tcBorders>
              <w:top w:val="single" w:sz="4" w:space="0" w:color="000000"/>
              <w:left w:val="single" w:sz="4" w:space="0" w:color="000000"/>
              <w:bottom w:val="single" w:sz="4" w:space="0" w:color="000000"/>
              <w:right w:val="single" w:sz="4" w:space="0" w:color="000000"/>
            </w:tcBorders>
            <w:vAlign w:val="center"/>
          </w:tcPr>
          <w:p>
            <w:pPr>
              <w:pStyle w:val="normal11"/>
              <w:widowControl/>
              <w:spacing w:lineRule="auto" w:line="360" w:before="0" w:after="0"/>
              <w:ind w:left="309" w:right="270"/>
              <w:jc w:val="center"/>
              <w:rPr>
                <w:b/>
              </w:rPr>
            </w:pPr>
            <w:r>
              <w:rPr>
                <w:rFonts w:eastAsia="Times New Roman" w:cs="Times New Roman"/>
                <w:b/>
                <w:kern w:val="0"/>
                <w:sz w:val="22"/>
                <w:szCs w:val="22"/>
                <w:lang w:val="pt-BR" w:eastAsia="pt-BR" w:bidi="ar-SA"/>
              </w:rPr>
              <w:t>Descrição</w:t>
            </w:r>
          </w:p>
        </w:tc>
        <w:tc>
          <w:tcPr>
            <w:tcW w:w="1906" w:type="dxa"/>
            <w:tcBorders>
              <w:top w:val="single" w:sz="4" w:space="0" w:color="000000"/>
              <w:left w:val="single" w:sz="4" w:space="0" w:color="000000"/>
              <w:bottom w:val="single" w:sz="4" w:space="0" w:color="000000"/>
              <w:right w:val="single" w:sz="4" w:space="0" w:color="000000"/>
            </w:tcBorders>
            <w:vAlign w:val="center"/>
          </w:tcPr>
          <w:p>
            <w:pPr>
              <w:pStyle w:val="normal11"/>
              <w:widowControl/>
              <w:spacing w:lineRule="auto" w:line="360" w:before="0" w:after="0"/>
              <w:ind w:left="346"/>
              <w:jc w:val="center"/>
              <w:rPr>
                <w:b/>
              </w:rPr>
            </w:pPr>
            <w:r>
              <w:rPr>
                <w:rFonts w:eastAsia="Times New Roman" w:cs="Times New Roman"/>
                <w:b/>
                <w:kern w:val="0"/>
                <w:sz w:val="22"/>
                <w:szCs w:val="22"/>
                <w:lang w:val="pt-BR" w:eastAsia="pt-BR" w:bidi="ar-SA"/>
              </w:rPr>
              <w:t>Valor</w:t>
            </w:r>
          </w:p>
        </w:tc>
      </w:tr>
      <w:tr>
        <w:trPr>
          <w:tblHeader w:val="true"/>
          <w:trHeight w:val="350" w:hRule="atLeast"/>
          <w:cantSplit w:val="true"/>
        </w:trPr>
        <w:tc>
          <w:tcPr>
            <w:tcW w:w="689" w:type="dxa"/>
            <w:tcBorders>
              <w:top w:val="single" w:sz="4" w:space="0" w:color="000000"/>
              <w:left w:val="single" w:sz="4" w:space="0" w:color="000000"/>
              <w:bottom w:val="single" w:sz="4" w:space="0" w:color="000000"/>
              <w:right w:val="single" w:sz="4" w:space="0" w:color="000000"/>
            </w:tcBorders>
            <w:vAlign w:val="center"/>
          </w:tcPr>
          <w:p>
            <w:pPr>
              <w:pStyle w:val="normal11"/>
              <w:widowControl/>
              <w:spacing w:lineRule="auto" w:line="360" w:before="0" w:after="0"/>
              <w:ind w:left="38"/>
              <w:jc w:val="center"/>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01</w:t>
            </w:r>
          </w:p>
        </w:tc>
        <w:tc>
          <w:tcPr>
            <w:tcW w:w="7965" w:type="dxa"/>
            <w:tcBorders>
              <w:top w:val="single" w:sz="4" w:space="0" w:color="000000"/>
              <w:left w:val="single" w:sz="4" w:space="0" w:color="000000"/>
              <w:bottom w:val="single" w:sz="4" w:space="0" w:color="000000"/>
              <w:right w:val="single" w:sz="4" w:space="0" w:color="000000"/>
            </w:tcBorders>
            <w:vAlign w:val="center"/>
          </w:tcPr>
          <w:p>
            <w:pPr>
              <w:pStyle w:val="normal11"/>
              <w:widowControl w:val="false"/>
              <w:tabs>
                <w:tab w:val="clear" w:pos="720"/>
                <w:tab w:val="left" w:pos="1004" w:leader="none"/>
              </w:tabs>
              <w:spacing w:lineRule="auto" w:line="360" w:before="0" w:after="0"/>
              <w:jc w:val="center"/>
              <w:rPr>
                <w:b/>
              </w:rPr>
            </w:pPr>
            <w:r>
              <w:rPr>
                <w:rFonts w:eastAsia="Times New Roman" w:cs="Times New Roman"/>
                <w:b/>
                <w:kern w:val="0"/>
                <w:sz w:val="22"/>
                <w:szCs w:val="22"/>
                <w:lang w:val="pt-BR" w:eastAsia="pt-BR" w:bidi="ar-SA"/>
              </w:rPr>
              <w:t>Contratação de empresa especializada para a execução da obra de Reforma do Centro de Saúde da Ponta das Canas</w:t>
            </w:r>
          </w:p>
        </w:tc>
        <w:tc>
          <w:tcPr>
            <w:tcW w:w="1906" w:type="dxa"/>
            <w:tcBorders>
              <w:top w:val="single" w:sz="4" w:space="0" w:color="000000"/>
              <w:left w:val="single" w:sz="4" w:space="0" w:color="000000"/>
              <w:bottom w:val="single" w:sz="4" w:space="0" w:color="000000"/>
              <w:right w:val="single" w:sz="4" w:space="0" w:color="000000"/>
            </w:tcBorders>
            <w:vAlign w:val="center"/>
          </w:tcPr>
          <w:p>
            <w:pPr>
              <w:pStyle w:val="normal11"/>
              <w:widowControl/>
              <w:spacing w:lineRule="auto" w:line="360" w:before="0" w:after="0"/>
              <w:ind w:left="28" w:right="3"/>
              <w:jc w:val="center"/>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R$ 3.292.697,81</w:t>
            </w:r>
          </w:p>
        </w:tc>
      </w:tr>
    </w:tbl>
    <w:p>
      <w:pPr>
        <w:pStyle w:val="normal11"/>
        <w:spacing w:lineRule="auto" w:line="360"/>
        <w:rPr>
          <w:rFonts w:ascii="Arial" w:hAnsi="Arial" w:eastAsia="Arial" w:cs="Arial"/>
          <w:b/>
        </w:rPr>
      </w:pPr>
      <w:r>
        <w:rPr>
          <w:rFonts w:eastAsia="Arial" w:cs="Arial" w:ascii="Arial" w:hAnsi="Arial"/>
          <w:b/>
        </w:rPr>
      </w:r>
    </w:p>
    <w:p>
      <w:pPr>
        <w:pStyle w:val="normal11"/>
        <w:tabs>
          <w:tab w:val="clear" w:pos="720"/>
          <w:tab w:val="left" w:pos="1004" w:leader="none"/>
        </w:tabs>
        <w:spacing w:lineRule="auto" w:line="360"/>
        <w:jc w:val="both"/>
        <w:rPr>
          <w:b/>
        </w:rPr>
      </w:pPr>
      <w:r>
        <w:rPr>
          <w:b/>
        </w:rPr>
      </w:r>
    </w:p>
    <w:p>
      <w:pPr>
        <w:pStyle w:val="normal11"/>
        <w:numPr>
          <w:ilvl w:val="0"/>
          <w:numId w:val="27"/>
        </w:numPr>
        <w:tabs>
          <w:tab w:val="clear" w:pos="720"/>
          <w:tab w:val="left" w:pos="1004" w:leader="none"/>
        </w:tabs>
        <w:spacing w:lineRule="auto" w:line="360"/>
        <w:ind w:hanging="1005" w:left="1004"/>
        <w:jc w:val="both"/>
        <w:rPr>
          <w:b/>
        </w:rPr>
      </w:pPr>
      <w:r>
        <w:rPr>
          <w:b/>
        </w:rPr>
        <w:t>OBJETO</w:t>
      </w:r>
    </w:p>
    <w:p>
      <w:pPr>
        <w:pStyle w:val="normal11"/>
        <w:tabs>
          <w:tab w:val="clear" w:pos="720"/>
          <w:tab w:val="left" w:pos="1004" w:leader="none"/>
        </w:tabs>
        <w:spacing w:lineRule="auto" w:line="360"/>
        <w:jc w:val="both"/>
        <w:rPr/>
      </w:pPr>
      <w:r>
        <w:rPr/>
        <w:t xml:space="preserve">1.1 Contratação, via contrato, de empresa especializada para a execução </w:t>
      </w:r>
      <w:r>
        <w:rPr>
          <w:b/>
        </w:rPr>
        <w:t xml:space="preserve">da obra de Reforma do Centro de Saúde da Ponta das Canas, </w:t>
      </w:r>
      <w:r>
        <w:rPr/>
        <w:t>localizado na Rodovia Luiz Boiteux Piazza, 6542 – Bairro Ponta das Canas, Florianópolis/SC, CEP — 88056-701.</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b/>
        </w:rPr>
      </w:pPr>
      <w:r>
        <w:rPr>
          <w:b/>
        </w:rPr>
        <w:t>1.2 Natureza do objeto</w:t>
      </w:r>
    </w:p>
    <w:p>
      <w:pPr>
        <w:pStyle w:val="normal11"/>
        <w:tabs>
          <w:tab w:val="clear" w:pos="720"/>
          <w:tab w:val="left" w:pos="1004" w:leader="none"/>
        </w:tabs>
        <w:spacing w:lineRule="auto" w:line="360"/>
        <w:jc w:val="both"/>
        <w:rPr/>
      </w:pPr>
      <w:r>
        <w:rPr/>
        <w:t>1.2.1. Os serviços objeto desta contratação são caracterizados como comuns de engenharia, conforme justificativa descrita no Estudo Técnico Preliminar.</w:t>
      </w:r>
    </w:p>
    <w:p>
      <w:pPr>
        <w:pStyle w:val="normal11"/>
        <w:tabs>
          <w:tab w:val="clear" w:pos="720"/>
          <w:tab w:val="left" w:pos="1004" w:leader="none"/>
        </w:tabs>
        <w:spacing w:lineRule="auto" w:line="360"/>
        <w:ind w:firstLine="359" w:left="285" w:right="277"/>
        <w:jc w:val="both"/>
        <w:rPr/>
      </w:pPr>
      <w:r>
        <w:rPr/>
      </w:r>
    </w:p>
    <w:p>
      <w:pPr>
        <w:pStyle w:val="normal11"/>
        <w:numPr>
          <w:ilvl w:val="0"/>
          <w:numId w:val="27"/>
        </w:numPr>
        <w:pBdr/>
        <w:tabs>
          <w:tab w:val="clear" w:pos="720"/>
          <w:tab w:val="left" w:pos="1004" w:leader="none"/>
        </w:tabs>
        <w:spacing w:lineRule="auto" w:line="360"/>
        <w:ind w:hanging="1004" w:left="1004"/>
        <w:jc w:val="both"/>
        <w:rPr>
          <w:b/>
        </w:rPr>
      </w:pPr>
      <w:r>
        <w:rPr>
          <w:color w:val="000000"/>
        </w:rPr>
        <w:t>JUSTIFICATIVA</w:t>
      </w:r>
    </w:p>
    <w:p>
      <w:pPr>
        <w:pStyle w:val="normal11"/>
        <w:tabs>
          <w:tab w:val="clear" w:pos="720"/>
          <w:tab w:val="left" w:pos="1004" w:leader="none"/>
        </w:tabs>
        <w:spacing w:lineRule="auto" w:line="360"/>
        <w:jc w:val="both"/>
        <w:rPr/>
      </w:pPr>
      <w:r>
        <w:rPr/>
        <w:t>2.1 A presente obra do Novo Centro de Saúde resultará em edificação de 1.040,48 m² de área total construída.  O novo edifício terá uma área superior ao antigo para atender a demanda da região através da ampliação dos espaços destinados à oferta dos serviços de saúde. O edifício atual possui mais de 25 anos de existência e dispensa uma área de apenas 216,06 m². A obra do Novo Centro de Saúde visa a realização de melhorias na infraestrutura de oferta de atendimento dos serviços em saúde oferecidos pelo Sistema Único de Saúde de modo a suprir as necessidades da população.</w:t>
      </w:r>
    </w:p>
    <w:p>
      <w:pPr>
        <w:pStyle w:val="normal11"/>
        <w:tabs>
          <w:tab w:val="clear" w:pos="720"/>
          <w:tab w:val="left" w:pos="1004" w:leader="none"/>
        </w:tabs>
        <w:spacing w:lineRule="auto" w:line="360"/>
        <w:jc w:val="both"/>
        <w:rPr/>
      </w:pPr>
      <w:r>
        <w:rPr/>
      </w:r>
    </w:p>
    <w:p>
      <w:pPr>
        <w:pStyle w:val="normal11"/>
        <w:numPr>
          <w:ilvl w:val="0"/>
          <w:numId w:val="27"/>
        </w:numPr>
        <w:pBdr/>
        <w:tabs>
          <w:tab w:val="clear" w:pos="720"/>
          <w:tab w:val="left" w:pos="1004" w:leader="none"/>
        </w:tabs>
        <w:spacing w:lineRule="auto" w:line="360"/>
        <w:ind w:hanging="1004" w:left="1004"/>
        <w:jc w:val="both"/>
        <w:rPr>
          <w:b/>
        </w:rPr>
      </w:pPr>
      <w:r>
        <w:rPr/>
        <w:t>REQUISITOS</w:t>
      </w:r>
      <w:r>
        <w:rPr>
          <w:color w:val="000000"/>
        </w:rPr>
        <w:t xml:space="preserve"> DA CONTRATAÇÃO</w:t>
      </w:r>
    </w:p>
    <w:p>
      <w:pPr>
        <w:pStyle w:val="normal11"/>
        <w:tabs>
          <w:tab w:val="clear" w:pos="720"/>
          <w:tab w:val="left" w:pos="1004" w:leader="none"/>
        </w:tabs>
        <w:spacing w:lineRule="auto" w:line="360"/>
        <w:jc w:val="both"/>
        <w:rPr>
          <w:b/>
        </w:rPr>
      </w:pPr>
      <w:r>
        <w:rPr>
          <w:b/>
        </w:rPr>
        <w:t>3.1. Subcontratação</w:t>
      </w:r>
    </w:p>
    <w:p>
      <w:pPr>
        <w:pStyle w:val="normal11"/>
        <w:tabs>
          <w:tab w:val="clear" w:pos="720"/>
          <w:tab w:val="left" w:pos="1004" w:leader="none"/>
        </w:tabs>
        <w:spacing w:lineRule="auto" w:line="360"/>
        <w:jc w:val="both"/>
        <w:rPr>
          <w:b/>
        </w:rPr>
      </w:pPr>
      <w:r>
        <w:rPr>
          <w:b/>
        </w:rPr>
        <w:t>3.1.1. Cláusula 1 - Permissão para Subcontratação</w:t>
      </w:r>
    </w:p>
    <w:p>
      <w:pPr>
        <w:pStyle w:val="normal11"/>
        <w:tabs>
          <w:tab w:val="clear" w:pos="720"/>
          <w:tab w:val="left" w:pos="1004" w:leader="none"/>
        </w:tabs>
        <w:spacing w:lineRule="auto" w:line="360"/>
        <w:jc w:val="both"/>
        <w:rPr/>
      </w:pPr>
      <w:r>
        <w:rPr/>
        <w:t>3.1.1.1 A subcontratação de parte do objeto da obra poderá ser permitida, exclusivamente para as atividades que sejam especificadas no Termo de Referência ou no projeto executivo, e desde que a execução da obra não comprometa a qualidade, prazos e custos inicialmente estabelecidos.</w:t>
      </w:r>
    </w:p>
    <w:p>
      <w:pPr>
        <w:pStyle w:val="normal11"/>
        <w:tabs>
          <w:tab w:val="clear" w:pos="720"/>
          <w:tab w:val="left" w:pos="1004" w:leader="none"/>
        </w:tabs>
        <w:spacing w:lineRule="auto" w:line="360"/>
        <w:jc w:val="both"/>
        <w:rPr/>
      </w:pPr>
      <w:r>
        <w:rPr/>
        <w:t>3.1.1.2 A subcontratação não poderá exceder 25% do valor total do contrato, salvo em casos excepcionais e devidamente justificados, com a aprovação prévia da Administração Pública.</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b/>
        </w:rPr>
      </w:pPr>
      <w:r>
        <w:rPr>
          <w:b/>
        </w:rPr>
        <w:t>3.1.2 Cláusula 2 - Condições para a Subcontratação</w:t>
      </w:r>
    </w:p>
    <w:p>
      <w:pPr>
        <w:pStyle w:val="Normal"/>
        <w:rPr/>
      </w:pPr>
      <w:r>
        <w:rPr/>
        <w:t>3.1.2.1 A subcontratação deverá ser realizada apenas com empresas que possuam idoneidade e capacidade técnica compatíveis com o objeto contratado.</w:t>
      </w:r>
    </w:p>
    <w:p>
      <w:pPr>
        <w:pStyle w:val="normal11"/>
        <w:spacing w:lineRule="auto" w:line="360"/>
        <w:jc w:val="both"/>
        <w:rPr/>
      </w:pPr>
      <w:r>
        <w:rPr/>
        <w:t>3.1.2.2 A empresa contratada principal deverá apresentar à Administração, antes da subcontratação, documentos que comprovem a idoneidade e a qualificação técnica da empresa subcontratada.</w:t>
      </w:r>
    </w:p>
    <w:p>
      <w:pPr>
        <w:pStyle w:val="normal11"/>
        <w:tabs>
          <w:tab w:val="clear" w:pos="720"/>
          <w:tab w:val="left" w:pos="1004" w:leader="none"/>
        </w:tabs>
        <w:spacing w:lineRule="auto" w:line="360"/>
        <w:jc w:val="both"/>
        <w:rPr/>
      </w:pPr>
      <w:r>
        <w:rPr/>
        <w:t>3.1.2.3 Fica estabelecido que a responsabilidade pela execução integral do contrato e pelo cumprimento das obrigações contratuais não será transferida à empresa subcontratada, permanecendo a contratada principal responsável pela boa execução da obra.</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b/>
        </w:rPr>
        <w:t>3.1.3 Cláusula 3 - Comunicação à Administraçã</w:t>
      </w:r>
      <w:r>
        <w:rPr/>
        <w:t>o</w:t>
      </w:r>
    </w:p>
    <w:p>
      <w:pPr>
        <w:pStyle w:val="normal11"/>
        <w:tabs>
          <w:tab w:val="clear" w:pos="720"/>
          <w:tab w:val="left" w:pos="1004" w:leader="none"/>
        </w:tabs>
        <w:spacing w:lineRule="auto" w:line="360"/>
        <w:jc w:val="both"/>
        <w:rPr/>
      </w:pPr>
      <w:r>
        <w:rPr/>
        <w:t>3.1.3.1 A contratada principal deverá comunicar à Administração Pública, por escrito, a intenção de subcontratar qualquer parte do objeto do contrato.</w:t>
      </w:r>
    </w:p>
    <w:p>
      <w:pPr>
        <w:pStyle w:val="normal11"/>
        <w:tabs>
          <w:tab w:val="clear" w:pos="720"/>
          <w:tab w:val="left" w:pos="1004" w:leader="none"/>
        </w:tabs>
        <w:spacing w:lineRule="auto" w:line="360"/>
        <w:jc w:val="both"/>
        <w:rPr/>
      </w:pPr>
      <w:r>
        <w:rPr/>
        <w:t>3.1.3.2 A contratada principal será solidariamente responsável pela execução de todas as atividades da obra, mesmo que subcontratadas, sendo responsável pelo cumprimento das cláusulas contratuais e pelo controle da qualidade da execução.</w:t>
      </w:r>
    </w:p>
    <w:p>
      <w:pPr>
        <w:pStyle w:val="normal11"/>
        <w:tabs>
          <w:tab w:val="clear" w:pos="720"/>
          <w:tab w:val="left" w:pos="1004" w:leader="none"/>
        </w:tabs>
        <w:spacing w:lineRule="auto" w:line="360"/>
        <w:jc w:val="both"/>
        <w:rPr/>
      </w:pPr>
      <w:r>
        <w:rPr/>
        <w:t>3.1.3.3 A contratada principal deverá monitorar a execução das atividades subcontratadas, garantindo que estas atendam aos padrões de qualidade, prazos e especificações exigidos no contrato.</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b/>
        </w:rPr>
      </w:pPr>
      <w:r>
        <w:rPr>
          <w:b/>
        </w:rPr>
        <w:t>3.1.4 Cláusula 4 - Limitações da Subcontratação</w:t>
      </w:r>
    </w:p>
    <w:p>
      <w:pPr>
        <w:pStyle w:val="normal11"/>
        <w:tabs>
          <w:tab w:val="clear" w:pos="720"/>
          <w:tab w:val="left" w:pos="1004" w:leader="none"/>
        </w:tabs>
        <w:spacing w:lineRule="auto" w:line="360"/>
        <w:jc w:val="both"/>
        <w:rPr/>
      </w:pPr>
      <w:r>
        <w:rPr/>
        <w:t>3.1.4.1 A subcontratação não poderá ser feita para o conjunto da obra, devendo ser limitada a serviços especializados ou atividades auxiliares que não comprometam a execução total do objeto contratado.</w:t>
      </w:r>
    </w:p>
    <w:p>
      <w:pPr>
        <w:pStyle w:val="normal11"/>
        <w:tabs>
          <w:tab w:val="clear" w:pos="720"/>
          <w:tab w:val="left" w:pos="1004" w:leader="none"/>
        </w:tabs>
        <w:spacing w:lineRule="auto" w:line="360"/>
        <w:jc w:val="both"/>
        <w:rPr/>
      </w:pPr>
      <w:r>
        <w:rPr/>
        <w:t>3.1.4.2 A Administração Pública poderá, a qualquer momento, solicitar à contratada principal a apresentação de documentos que comprovem o cumprimento das obrigações pela subcontratada, especialmente no que diz respeito à qualidade da execução dos serviços.</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b/>
        </w:rPr>
      </w:pPr>
      <w:r>
        <w:rPr>
          <w:b/>
        </w:rPr>
        <w:t>3.1.5 Cláusula 5 - Fiscalização e Monitoramento da Subcontratação</w:t>
      </w:r>
    </w:p>
    <w:p>
      <w:pPr>
        <w:pStyle w:val="normal11"/>
        <w:tabs>
          <w:tab w:val="clear" w:pos="720"/>
          <w:tab w:val="left" w:pos="1004" w:leader="none"/>
        </w:tabs>
        <w:spacing w:lineRule="auto" w:line="360"/>
        <w:jc w:val="both"/>
        <w:rPr/>
      </w:pPr>
      <w:r>
        <w:rPr/>
        <w:t>3.1.5.1 A Administração Pública poderá, por meio de seus representantes e fiscais, acompanhar e auditar a execução dos serviços realizados pela empresa subcontratada, com o objetivo de garantir o cumprimento das especificações do contrato.</w:t>
      </w:r>
    </w:p>
    <w:p>
      <w:pPr>
        <w:pStyle w:val="normal11"/>
        <w:tabs>
          <w:tab w:val="clear" w:pos="720"/>
          <w:tab w:val="left" w:pos="1004" w:leader="none"/>
        </w:tabs>
        <w:spacing w:lineRule="auto" w:line="360"/>
        <w:jc w:val="both"/>
        <w:rPr/>
      </w:pPr>
      <w:r>
        <w:rPr/>
        <w:t>3.1.5.2 A contratada principal deve garantir que a empresa subcontratada cumpra com todas as normas de segurança, ambientais, trabalhistas e fiscais estabelecidas pela legislação vigente.</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b/>
        </w:rPr>
      </w:pPr>
      <w:r>
        <w:rPr>
          <w:b/>
        </w:rPr>
        <w:t>3.1.6 Cláusula 6 - Penalidades para Subcontratação Indevida</w:t>
      </w:r>
    </w:p>
    <w:p>
      <w:pPr>
        <w:pStyle w:val="normal11"/>
        <w:tabs>
          <w:tab w:val="clear" w:pos="720"/>
          <w:tab w:val="left" w:pos="1004" w:leader="none"/>
        </w:tabs>
        <w:spacing w:lineRule="auto" w:line="360"/>
        <w:jc w:val="both"/>
        <w:rPr/>
      </w:pPr>
      <w:r>
        <w:rPr/>
        <w:t>3.1.6.1 A subcontratação não autorizada ou que não observe as condições estipuladas no contrato poderá acarretar em penalidades à contratada principal, incluindo multa e até a rescisão do contrato, conforme as disposições contratuais.</w:t>
      </w:r>
    </w:p>
    <w:p>
      <w:pPr>
        <w:pStyle w:val="Normal"/>
        <w:rPr/>
      </w:pPr>
      <w:r>
        <w:rPr/>
        <w:t>3.1.6.2 A subcontratação indevida ou a execução inadequada de serviços por parte da empresa subcontratada pode levar à exclusão da subcontratada do contrato, sem prejuízo das sanções aplicáveis à contratada principal.</w:t>
      </w:r>
    </w:p>
    <w:p>
      <w:pPr>
        <w:pStyle w:val="normal11"/>
        <w:spacing w:lineRule="auto" w:line="360"/>
        <w:jc w:val="both"/>
        <w:rPr/>
      </w:pPr>
      <w:r>
        <w:rPr/>
      </w:r>
    </w:p>
    <w:p>
      <w:pPr>
        <w:pStyle w:val="normal11"/>
        <w:tabs>
          <w:tab w:val="clear" w:pos="720"/>
          <w:tab w:val="left" w:pos="1004" w:leader="none"/>
        </w:tabs>
        <w:spacing w:lineRule="auto" w:line="360"/>
        <w:jc w:val="both"/>
        <w:rPr>
          <w:b/>
        </w:rPr>
      </w:pPr>
      <w:r>
        <w:rPr>
          <w:b/>
        </w:rPr>
        <w:t>3.2. Garantia da Contratação</w:t>
      </w:r>
    </w:p>
    <w:p>
      <w:pPr>
        <w:pStyle w:val="normal11"/>
        <w:tabs>
          <w:tab w:val="clear" w:pos="720"/>
          <w:tab w:val="left" w:pos="1004" w:leader="none"/>
        </w:tabs>
        <w:spacing w:lineRule="auto" w:line="360"/>
        <w:jc w:val="both"/>
        <w:rPr/>
      </w:pPr>
      <w:r>
        <w:rPr/>
        <w:t>3.2.1.</w:t>
        <w:tab/>
        <w:t>Será exigida a garantia da contratação de que tratam os arts. 96 e seguintes da Lei n.º 14.133, de 2021, no percentual de 5% (cinco por cento) do valor total da contratação e condições descritas nas cláusulas do contrato.</w:t>
      </w:r>
    </w:p>
    <w:p>
      <w:pPr>
        <w:pStyle w:val="normal11"/>
        <w:tabs>
          <w:tab w:val="clear" w:pos="720"/>
          <w:tab w:val="left" w:pos="1004" w:leader="none"/>
        </w:tabs>
        <w:spacing w:lineRule="auto" w:line="360"/>
        <w:jc w:val="both"/>
        <w:rPr/>
      </w:pPr>
      <w:r>
        <w:rPr/>
        <w:t>3.2.2.</w:t>
        <w:tab/>
        <w:t xml:space="preserve">Em caso de opção pelo seguro-garantia, a parte adjudicatária deverá apresentá-la, no máximo, até a data de assinatura do contrato.  </w:t>
      </w:r>
    </w:p>
    <w:p>
      <w:pPr>
        <w:pStyle w:val="normal11"/>
        <w:tabs>
          <w:tab w:val="clear" w:pos="720"/>
          <w:tab w:val="left" w:pos="1004" w:leader="none"/>
        </w:tabs>
        <w:spacing w:lineRule="auto" w:line="360"/>
        <w:jc w:val="both"/>
        <w:rPr/>
      </w:pPr>
      <w:r>
        <w:rPr/>
        <w:t>3.2.3.</w:t>
        <w:tab/>
        <w:t>A garantia, nas modalidades caução e fiança bancária, deverá ser prestada em até 10 dias úteis após a assinatura do contrato.</w:t>
      </w:r>
    </w:p>
    <w:p>
      <w:pPr>
        <w:pStyle w:val="normal11"/>
        <w:tabs>
          <w:tab w:val="clear" w:pos="720"/>
          <w:tab w:val="left" w:pos="1004" w:leader="none"/>
        </w:tabs>
        <w:spacing w:lineRule="auto" w:line="360"/>
        <w:jc w:val="both"/>
        <w:rPr/>
      </w:pPr>
      <w:r>
        <w:rPr/>
        <w:t>3.2.4.</w:t>
        <w:tab/>
        <w:t>O contrato oferece maior detalhamento das regras que serão aplicadas em relação à garantia da contratação.</w:t>
      </w:r>
    </w:p>
    <w:p>
      <w:pPr>
        <w:pStyle w:val="normal11"/>
        <w:tabs>
          <w:tab w:val="clear" w:pos="720"/>
          <w:tab w:val="left" w:pos="1004" w:leader="none"/>
        </w:tabs>
        <w:spacing w:lineRule="auto" w:line="360"/>
        <w:jc w:val="both"/>
        <w:rPr/>
      </w:pPr>
      <w:r>
        <w:rPr/>
      </w:r>
    </w:p>
    <w:p>
      <w:pPr>
        <w:pStyle w:val="normal11"/>
        <w:numPr>
          <w:ilvl w:val="0"/>
          <w:numId w:val="27"/>
        </w:numPr>
        <w:tabs>
          <w:tab w:val="clear" w:pos="720"/>
          <w:tab w:val="left" w:pos="1004" w:leader="none"/>
        </w:tabs>
        <w:spacing w:lineRule="auto" w:line="360"/>
        <w:jc w:val="both"/>
        <w:rPr>
          <w:b/>
        </w:rPr>
      </w:pPr>
      <w:r>
        <w:rPr>
          <w:b/>
        </w:rPr>
        <w:t>DOS PRAZOS E ÍNDICE DE REAJUSTAMENTO</w:t>
      </w:r>
    </w:p>
    <w:p>
      <w:pPr>
        <w:pStyle w:val="Normal"/>
        <w:rPr/>
      </w:pPr>
      <w:r>
        <w:rPr/>
        <w:t>O início das obras e serviços deverá se dar após a assinatura do Contrato e o Recebimento formal da Ordem de Serviço;</w:t>
      </w:r>
    </w:p>
    <w:p>
      <w:pPr>
        <w:pStyle w:val="normal11"/>
        <w:numPr>
          <w:ilvl w:val="1"/>
          <w:numId w:val="27"/>
        </w:numPr>
        <w:spacing w:lineRule="auto" w:line="360"/>
        <w:jc w:val="both"/>
        <w:rPr/>
      </w:pPr>
      <w:r>
        <w:rPr/>
        <w:t>O prazo de vigência do Contrato será de 420 (quatrocentos e vinte) dias, a conta da data de assinatura do referido instrumento, podendo ser prorrogado conforme art. 111 da Lei nº 14.133/2021;</w:t>
      </w:r>
    </w:p>
    <w:p>
      <w:pPr>
        <w:pStyle w:val="normal11"/>
        <w:numPr>
          <w:ilvl w:val="1"/>
          <w:numId w:val="27"/>
        </w:numPr>
        <w:spacing w:lineRule="auto" w:line="360"/>
        <w:jc w:val="both"/>
        <w:rPr/>
      </w:pPr>
      <w:r>
        <w:rPr/>
        <w:t>O prazo da execução será de 360 (trezentos e sessenta) dias, a contar do recebimento da Ordem de Serviço pela CONTRATADA, podendo ser prorrogado conforme art. 111 da Lei nº 14.133/2021.</w:t>
      </w:r>
    </w:p>
    <w:p>
      <w:pPr>
        <w:pStyle w:val="normal11"/>
        <w:numPr>
          <w:ilvl w:val="1"/>
          <w:numId w:val="27"/>
        </w:numPr>
        <w:spacing w:lineRule="auto" w:line="360"/>
        <w:jc w:val="both"/>
        <w:rPr/>
      </w:pPr>
      <w:r>
        <w:rPr/>
        <w:t>Os preços serão fixos e irreajustáveis, pelo período de 12 (doze) meses;</w:t>
      </w:r>
    </w:p>
    <w:p>
      <w:pPr>
        <w:pStyle w:val="normal11"/>
        <w:numPr>
          <w:ilvl w:val="1"/>
          <w:numId w:val="27"/>
        </w:numPr>
        <w:spacing w:lineRule="auto" w:line="360"/>
        <w:jc w:val="both"/>
        <w:rPr/>
      </w:pPr>
      <w:r>
        <w:rPr/>
        <w:t>Os preços dos serviços a executar (custos sobre materiais e insumos), que não estiverem em atraso no cronograma físico, serão reajustados anualmente, a contar do primeiro dia do mês subsequente ao do orçamento a que a proposta se referir, nos termos do art. 25, parágrafo 7°, da lei 14133/2021, utilizando o índice da coluna 35 do Custo Nacional da Construção Civil e Obras Públicas - Edificação da FGV, mediante aplicação da seguinte fórmula:</w:t>
      </w:r>
    </w:p>
    <w:p>
      <w:pPr>
        <w:pStyle w:val="normal11"/>
        <w:spacing w:lineRule="auto" w:line="276" w:before="240" w:after="240"/>
        <w:ind w:firstLine="700"/>
        <w:jc w:val="both"/>
        <w:rPr>
          <w:rFonts w:ascii="Calibri" w:hAnsi="Calibri" w:eastAsia="Calibri" w:cs="Calibri"/>
          <w:i/>
          <w:i/>
        </w:rPr>
      </w:pPr>
      <w:r>
        <w:rPr/>
        <w:drawing>
          <wp:inline distT="0" distB="0" distL="0" distR="0">
            <wp:extent cx="1047750" cy="632460"/>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noChangeArrowheads="1"/>
                    </pic:cNvPicPr>
                  </pic:nvPicPr>
                  <pic:blipFill>
                    <a:blip r:embed="rId20"/>
                    <a:stretch>
                      <a:fillRect/>
                    </a:stretch>
                  </pic:blipFill>
                  <pic:spPr bwMode="auto">
                    <a:xfrm>
                      <a:off x="0" y="0"/>
                      <a:ext cx="1047750" cy="632460"/>
                    </a:xfrm>
                    <a:prstGeom prst="rect">
                      <a:avLst/>
                    </a:prstGeom>
                    <a:noFill/>
                  </pic:spPr>
                </pic:pic>
              </a:graphicData>
            </a:graphic>
          </wp:inline>
        </w:drawing>
      </w:r>
    </w:p>
    <w:p>
      <w:pPr>
        <w:pStyle w:val="normal11"/>
        <w:spacing w:lineRule="auto" w:line="276" w:before="240" w:after="240"/>
        <w:ind w:firstLine="700"/>
        <w:jc w:val="both"/>
        <w:rPr>
          <w:i/>
          <w:i/>
        </w:rPr>
      </w:pPr>
      <w:r>
        <w:rPr>
          <w:i/>
        </w:rPr>
        <w:t>R = valor de reajuste procurado;</w:t>
      </w:r>
    </w:p>
    <w:p>
      <w:pPr>
        <w:pStyle w:val="normal11"/>
        <w:spacing w:lineRule="auto" w:line="276" w:before="240" w:after="240"/>
        <w:ind w:firstLine="700"/>
        <w:jc w:val="both"/>
        <w:rPr>
          <w:i/>
          <w:i/>
        </w:rPr>
      </w:pPr>
      <w:r>
        <w:rPr>
          <w:i/>
        </w:rPr>
        <w:t>V = valor contratual do item a ser reajustado;</w:t>
      </w:r>
    </w:p>
    <w:p>
      <w:pPr>
        <w:pStyle w:val="normal11"/>
        <w:spacing w:lineRule="auto" w:line="276" w:before="240" w:after="240"/>
        <w:ind w:firstLine="700"/>
        <w:jc w:val="both"/>
        <w:rPr>
          <w:i/>
          <w:i/>
        </w:rPr>
      </w:pPr>
      <w:r>
        <w:rPr>
          <w:i/>
        </w:rPr>
        <w:t>I</w:t>
      </w:r>
      <w:r>
        <w:rPr>
          <w:i/>
          <w:vertAlign w:val="subscript"/>
        </w:rPr>
        <w:t>0</w:t>
      </w:r>
      <w:r>
        <w:rPr>
          <w:i/>
        </w:rPr>
        <w:t xml:space="preserve"> = índice inicial – índice da coluna 35 do Custo Nacional da Construção Civil e Obras Públicas – Edificação da FGV a contar do primeiro dia do mês subsequente ao do orçamento a que a proposta se referir.</w:t>
      </w:r>
    </w:p>
    <w:p>
      <w:pPr>
        <w:pStyle w:val="normal11"/>
        <w:spacing w:lineRule="auto" w:line="276" w:before="240" w:after="240"/>
        <w:ind w:firstLine="700"/>
        <w:jc w:val="both"/>
        <w:rPr/>
      </w:pPr>
      <w:r>
        <w:rPr>
          <w:i/>
        </w:rPr>
        <w:t>I = Índice relativo à data do reajuste - índice da coluna 35 do Custo Nacional da Construção Civil e Obras Públicas – Edificação da FGV do mês anterior ao mês em que o contrato completar um ano da contratação ou nos anos subsequentes.</w:t>
      </w:r>
    </w:p>
    <w:p>
      <w:pPr>
        <w:pStyle w:val="normal11"/>
        <w:numPr>
          <w:ilvl w:val="1"/>
          <w:numId w:val="27"/>
        </w:numPr>
        <w:spacing w:lineRule="auto" w:line="360"/>
        <w:ind w:hanging="0" w:left="285" w:right="282"/>
        <w:jc w:val="both"/>
        <w:rPr/>
      </w:pPr>
      <w:r>
        <w:rPr/>
        <w:t>As etapas que estiverem em atraso por culpa da CONTRATADA no momento do reajuste, não sofrerão alteração dos preços.</w:t>
      </w:r>
    </w:p>
    <w:p>
      <w:pPr>
        <w:pStyle w:val="normal11"/>
        <w:tabs>
          <w:tab w:val="clear" w:pos="720"/>
          <w:tab w:val="left" w:pos="1004" w:leader="none"/>
        </w:tabs>
        <w:spacing w:lineRule="auto" w:line="360"/>
        <w:jc w:val="both"/>
        <w:rPr/>
      </w:pPr>
      <w:r>
        <w:rPr/>
      </w:r>
    </w:p>
    <w:p>
      <w:pPr>
        <w:pStyle w:val="normal11"/>
        <w:numPr>
          <w:ilvl w:val="0"/>
          <w:numId w:val="27"/>
        </w:numPr>
        <w:pBdr/>
        <w:tabs>
          <w:tab w:val="clear" w:pos="720"/>
          <w:tab w:val="left" w:pos="1004" w:leader="none"/>
        </w:tabs>
        <w:spacing w:lineRule="auto" w:line="360"/>
        <w:ind w:hanging="1004" w:left="1004"/>
        <w:jc w:val="both"/>
        <w:rPr>
          <w:b/>
        </w:rPr>
      </w:pPr>
      <w:r>
        <w:rPr>
          <w:color w:val="000000"/>
        </w:rPr>
        <w:t>FORMA COMO OS SERVIÇOS SERÃO SOLICITADOS</w:t>
      </w:r>
    </w:p>
    <w:p>
      <w:pPr>
        <w:pStyle w:val="normal11"/>
        <w:tabs>
          <w:tab w:val="clear" w:pos="720"/>
          <w:tab w:val="left" w:pos="1004" w:leader="none"/>
        </w:tabs>
        <w:spacing w:lineRule="auto" w:line="360" w:before="121" w:after="0"/>
        <w:ind w:left="285"/>
        <w:jc w:val="both"/>
        <w:rPr/>
      </w:pPr>
      <w:r>
        <w:rPr/>
        <w:t>5.1 Serão solicitados através da assinatura do contrato ou, a critério da contratante, por meio de Ordem de Serviço.</w:t>
      </w:r>
    </w:p>
    <w:p>
      <w:pPr>
        <w:pStyle w:val="normal11"/>
        <w:tabs>
          <w:tab w:val="clear" w:pos="720"/>
          <w:tab w:val="left" w:pos="1004" w:leader="none"/>
        </w:tabs>
        <w:spacing w:lineRule="auto" w:line="360"/>
        <w:jc w:val="both"/>
        <w:rPr/>
      </w:pPr>
      <w:r>
        <w:rPr/>
      </w:r>
    </w:p>
    <w:p>
      <w:pPr>
        <w:pStyle w:val="normal11"/>
        <w:numPr>
          <w:ilvl w:val="0"/>
          <w:numId w:val="27"/>
        </w:numPr>
        <w:pBdr/>
        <w:tabs>
          <w:tab w:val="clear" w:pos="720"/>
          <w:tab w:val="left" w:pos="1004" w:leader="none"/>
        </w:tabs>
        <w:spacing w:lineRule="auto" w:line="360"/>
        <w:ind w:hanging="1004" w:left="1004"/>
        <w:jc w:val="both"/>
        <w:rPr>
          <w:b/>
        </w:rPr>
      </w:pPr>
      <w:r>
        <w:rPr>
          <w:color w:val="000000"/>
        </w:rPr>
        <w:t>MODELO DE EXECUÇÃO DO OBJETO</w:t>
      </w:r>
    </w:p>
    <w:p>
      <w:pPr>
        <w:pStyle w:val="normal11"/>
        <w:tabs>
          <w:tab w:val="clear" w:pos="720"/>
          <w:tab w:val="left" w:pos="1004" w:leader="none"/>
        </w:tabs>
        <w:spacing w:lineRule="auto" w:line="360"/>
        <w:jc w:val="both"/>
        <w:rPr>
          <w:b/>
        </w:rPr>
      </w:pPr>
      <w:r>
        <w:rPr>
          <w:b/>
        </w:rPr>
        <w:t>6.1. Especificações da garantia do serviço</w:t>
      </w:r>
    </w:p>
    <w:p>
      <w:pPr>
        <w:pStyle w:val="normal11"/>
        <w:tabs>
          <w:tab w:val="clear" w:pos="720"/>
          <w:tab w:val="left" w:pos="1004" w:leader="none"/>
        </w:tabs>
        <w:spacing w:lineRule="auto" w:line="360"/>
        <w:jc w:val="both"/>
        <w:rPr/>
      </w:pPr>
      <w:r>
        <w:rPr/>
        <w:t>6.1.1. A empresa deverá garantir a execução da obra conforme projetos arquitetônicos e complementares elaborados para a execução do Novo Centro de Saúde Ponta das Canas. Em caso de serviço executado em desacordo com as orientações dos projetos arquitetônicos, conforme averiguação do fiscal da obra, a contratada deverá, às custas, refazer o serviço em conformidade com o projeto. Todos os projetos encontram- se anexos a este Termo de Referência.</w:t>
      </w:r>
    </w:p>
    <w:p>
      <w:pPr>
        <w:pStyle w:val="normal11"/>
        <w:tabs>
          <w:tab w:val="clear" w:pos="720"/>
          <w:tab w:val="left" w:pos="1004" w:leader="none"/>
        </w:tabs>
        <w:spacing w:lineRule="auto" w:line="360"/>
        <w:ind w:left="1005"/>
        <w:jc w:val="both"/>
        <w:rPr/>
      </w:pPr>
      <w:r>
        <w:rPr/>
      </w:r>
    </w:p>
    <w:p>
      <w:pPr>
        <w:pStyle w:val="normal11"/>
        <w:numPr>
          <w:ilvl w:val="0"/>
          <w:numId w:val="27"/>
        </w:numPr>
        <w:tabs>
          <w:tab w:val="clear" w:pos="720"/>
          <w:tab w:val="left" w:pos="1004" w:leader="none"/>
        </w:tabs>
        <w:spacing w:lineRule="auto" w:line="360"/>
        <w:ind w:hanging="0" w:left="0"/>
        <w:jc w:val="both"/>
        <w:rPr>
          <w:b/>
        </w:rPr>
      </w:pPr>
      <w:r>
        <w:rPr>
          <w:b/>
        </w:rPr>
        <w:t>FORMA E CRITÉRIOS DE SELEÇÃO DO FORNECEDOR E REGIME DE EXECUÇÃO</w:t>
      </w:r>
    </w:p>
    <w:p>
      <w:pPr>
        <w:pStyle w:val="normal11"/>
        <w:tabs>
          <w:tab w:val="clear" w:pos="720"/>
          <w:tab w:val="left" w:pos="1004" w:leader="none"/>
        </w:tabs>
        <w:spacing w:lineRule="auto" w:line="360"/>
        <w:jc w:val="both"/>
        <w:rPr/>
      </w:pPr>
      <w:r>
        <w:rPr/>
        <w:t>7.1.</w:t>
        <w:tab/>
        <w:t>O fornecedor será selecionado por meio da realização de procedimento de LICITAÇÃO, na modalidade CONCORRÊNCIA, sob a forma ELETRÔNICA, com adoção do critério de julgamento pelo MENOR PREÇO GLOBAL.</w:t>
      </w:r>
    </w:p>
    <w:p>
      <w:pPr>
        <w:pStyle w:val="normal11"/>
        <w:tabs>
          <w:tab w:val="clear" w:pos="720"/>
          <w:tab w:val="left" w:pos="1004" w:leader="none"/>
        </w:tabs>
        <w:spacing w:lineRule="auto" w:line="360"/>
        <w:jc w:val="both"/>
        <w:rPr/>
      </w:pPr>
      <w:r>
        <w:rPr/>
        <w:t>7.2. O regime de execução do objeto será de empreitada por preço unitário.</w:t>
      </w:r>
    </w:p>
    <w:p>
      <w:pPr>
        <w:pStyle w:val="normal11"/>
        <w:tabs>
          <w:tab w:val="clear" w:pos="720"/>
          <w:tab w:val="left" w:pos="1004" w:leader="none"/>
        </w:tabs>
        <w:spacing w:lineRule="auto" w:line="360"/>
        <w:jc w:val="both"/>
        <w:rPr/>
      </w:pPr>
      <w:r>
        <w:rPr/>
        <w:t>7.3.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b/>
        </w:rPr>
      </w:pPr>
      <w:r>
        <w:rPr>
          <w:b/>
        </w:rPr>
        <w:t>7.4. Exigências de habilitação</w:t>
      </w:r>
    </w:p>
    <w:p>
      <w:pPr>
        <w:pStyle w:val="normal11"/>
        <w:tabs>
          <w:tab w:val="clear" w:pos="720"/>
          <w:tab w:val="left" w:pos="1004" w:leader="none"/>
        </w:tabs>
        <w:spacing w:lineRule="auto" w:line="360"/>
        <w:jc w:val="both"/>
        <w:rPr/>
      </w:pPr>
      <w:r>
        <w:rPr/>
        <w:t>7.4.1. Para fins de habilitação, deverá o licitante comprovar os seguintes requisitos:</w:t>
      </w:r>
    </w:p>
    <w:p>
      <w:pPr>
        <w:pStyle w:val="normal11"/>
        <w:tabs>
          <w:tab w:val="clear" w:pos="720"/>
          <w:tab w:val="left" w:pos="1004" w:leader="none"/>
        </w:tabs>
        <w:spacing w:lineRule="auto" w:line="360"/>
        <w:jc w:val="both"/>
        <w:rPr/>
      </w:pPr>
      <w:r>
        <w:rPr/>
        <w:t xml:space="preserve">I. </w:t>
        <w:tab/>
        <w:t>Habilitação jurídica</w:t>
      </w:r>
    </w:p>
    <w:p>
      <w:pPr>
        <w:pStyle w:val="normal11"/>
        <w:numPr>
          <w:ilvl w:val="0"/>
          <w:numId w:val="36"/>
        </w:numPr>
        <w:tabs>
          <w:tab w:val="clear" w:pos="720"/>
          <w:tab w:val="left" w:pos="1004" w:leader="none"/>
        </w:tabs>
        <w:spacing w:lineRule="auto" w:line="360"/>
        <w:jc w:val="both"/>
        <w:rPr/>
      </w:pPr>
      <w:r>
        <w:rPr/>
        <w:t xml:space="preserve">Cédula de identidade; </w:t>
      </w:r>
    </w:p>
    <w:p>
      <w:pPr>
        <w:pStyle w:val="normal11"/>
        <w:numPr>
          <w:ilvl w:val="0"/>
          <w:numId w:val="36"/>
        </w:numPr>
        <w:tabs>
          <w:tab w:val="clear" w:pos="720"/>
          <w:tab w:val="left" w:pos="1004" w:leader="none"/>
        </w:tabs>
        <w:spacing w:lineRule="auto" w:line="360"/>
        <w:jc w:val="both"/>
        <w:rPr/>
      </w:pPr>
      <w:r>
        <w:rPr/>
        <w:t>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prova de diretoria em exercício, decreto de autorização, em se tratando de empresa ou sociedade estrangeira em funcionamento no País, e ato de registro ou autorização para funcionamento expedido pelo órgão competente, quando a atividade assim o exigir.</w:t>
      </w:r>
    </w:p>
    <w:p>
      <w:pPr>
        <w:pStyle w:val="normal11"/>
        <w:numPr>
          <w:ilvl w:val="0"/>
          <w:numId w:val="36"/>
        </w:numPr>
        <w:tabs>
          <w:tab w:val="clear" w:pos="720"/>
          <w:tab w:val="left" w:pos="1004" w:leader="none"/>
        </w:tabs>
        <w:spacing w:lineRule="auto" w:line="360"/>
        <w:jc w:val="both"/>
        <w:rPr/>
      </w:pPr>
      <w:r>
        <w:rPr/>
        <w:t>Os documentos apresentados deverão estar acompanhados de todas as alterações ou da consolidação respectiva.</w:t>
      </w:r>
    </w:p>
    <w:p>
      <w:pPr>
        <w:pStyle w:val="normal11"/>
        <w:tabs>
          <w:tab w:val="clear" w:pos="720"/>
          <w:tab w:val="left" w:pos="1004" w:leader="none"/>
        </w:tabs>
        <w:spacing w:lineRule="auto" w:line="360"/>
        <w:jc w:val="both"/>
        <w:rPr/>
      </w:pPr>
      <w:r>
        <w:rPr/>
        <w:t>II.</w:t>
        <w:tab/>
        <w:t>Habilitação fiscal, social e trabalhista</w:t>
      </w:r>
    </w:p>
    <w:p>
      <w:pPr>
        <w:pStyle w:val="normal11"/>
        <w:numPr>
          <w:ilvl w:val="0"/>
          <w:numId w:val="11"/>
        </w:numPr>
        <w:tabs>
          <w:tab w:val="clear" w:pos="720"/>
          <w:tab w:val="left" w:pos="1004" w:leader="none"/>
        </w:tabs>
        <w:spacing w:lineRule="auto" w:line="360"/>
        <w:jc w:val="both"/>
        <w:rPr/>
      </w:pPr>
      <w:r>
        <w:rPr/>
        <w:t>Prova de inscrição no Cadastro Nacional de Pessoas Jurídicas ou no Cadastro de Pessoas Físicas, conforme o caso;</w:t>
      </w:r>
    </w:p>
    <w:p>
      <w:pPr>
        <w:pStyle w:val="normal11"/>
        <w:numPr>
          <w:ilvl w:val="0"/>
          <w:numId w:val="11"/>
        </w:numPr>
        <w:tabs>
          <w:tab w:val="clear" w:pos="720"/>
          <w:tab w:val="left" w:pos="1004" w:leader="none"/>
        </w:tabs>
        <w:spacing w:lineRule="auto" w:line="360"/>
        <w:jc w:val="both"/>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ormal11"/>
        <w:numPr>
          <w:ilvl w:val="0"/>
          <w:numId w:val="11"/>
        </w:numPr>
        <w:tabs>
          <w:tab w:val="clear" w:pos="720"/>
          <w:tab w:val="left" w:pos="1004" w:leader="none"/>
        </w:tabs>
        <w:spacing w:lineRule="auto" w:line="360"/>
        <w:jc w:val="both"/>
        <w:rPr/>
      </w:pPr>
      <w:r>
        <w:rPr/>
        <w:t>Prova de regularidade com o Fundo de Garantia do Tempo de Serviço (FGTS);</w:t>
      </w:r>
    </w:p>
    <w:p>
      <w:pPr>
        <w:pStyle w:val="normal11"/>
        <w:numPr>
          <w:ilvl w:val="0"/>
          <w:numId w:val="11"/>
        </w:numPr>
        <w:tabs>
          <w:tab w:val="clear" w:pos="720"/>
          <w:tab w:val="left" w:pos="1004" w:leader="none"/>
        </w:tabs>
        <w:spacing w:lineRule="auto" w:line="360"/>
        <w:jc w:val="both"/>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11"/>
        <w:numPr>
          <w:ilvl w:val="0"/>
          <w:numId w:val="11"/>
        </w:numPr>
        <w:tabs>
          <w:tab w:val="clear" w:pos="720"/>
          <w:tab w:val="left" w:pos="1004" w:leader="none"/>
        </w:tabs>
        <w:spacing w:lineRule="auto" w:line="360"/>
        <w:jc w:val="both"/>
        <w:rPr/>
      </w:pPr>
      <w:r>
        <w:rPr/>
        <w:t xml:space="preserve">Prova de inscrição no cadastro de contribuintes Estadual/Distrital ou Municipal/Distrital relativo ao domicílio ou sede do fornecedor, pertinente ao seu ramo de atividade e compatível com o objeto contratual; </w:t>
      </w:r>
    </w:p>
    <w:p>
      <w:pPr>
        <w:pStyle w:val="normal11"/>
        <w:numPr>
          <w:ilvl w:val="0"/>
          <w:numId w:val="11"/>
        </w:numPr>
        <w:tabs>
          <w:tab w:val="clear" w:pos="720"/>
          <w:tab w:val="left" w:pos="1004" w:leader="none"/>
        </w:tabs>
        <w:spacing w:lineRule="auto" w:line="360"/>
        <w:jc w:val="both"/>
        <w:rPr/>
      </w:pPr>
      <w:r>
        <w:rPr/>
        <w:t>Prova de regularidade com a Fazenda Estadual/Distrital ou Municipal/Distrital do domicílio ou sede do fornecedor, relativa à atividade em cujo exercício contrata ou concorre;</w:t>
      </w:r>
    </w:p>
    <w:p>
      <w:pPr>
        <w:pStyle w:val="normal11"/>
        <w:numPr>
          <w:ilvl w:val="0"/>
          <w:numId w:val="11"/>
        </w:numPr>
        <w:tabs>
          <w:tab w:val="clear" w:pos="720"/>
          <w:tab w:val="left" w:pos="1004" w:leader="none"/>
        </w:tabs>
        <w:spacing w:lineRule="auto" w:line="360"/>
        <w:jc w:val="both"/>
        <w:rPr/>
      </w:pPr>
      <w:r>
        <w:rPr/>
        <w:t>Caso o fornecedor seja considerado isento dos tributos Estadual/Distrital ou Municipal/Distrital relacionado ao objeto contratual, deverá comprovar tal condição mediante a apresentação de declaração da Fazenda respectiva do seu domicílio ou sede, ou outra equivalente, na forma da lei.</w:t>
      </w:r>
    </w:p>
    <w:p>
      <w:pPr>
        <w:pStyle w:val="normal11"/>
        <w:numPr>
          <w:ilvl w:val="0"/>
          <w:numId w:val="11"/>
        </w:numPr>
        <w:tabs>
          <w:tab w:val="clear" w:pos="720"/>
          <w:tab w:val="left" w:pos="1004" w:leader="none"/>
        </w:tabs>
        <w:spacing w:lineRule="auto" w:line="360"/>
        <w:jc w:val="both"/>
        <w:rPr/>
      </w:pPr>
      <w:r>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pPr>
        <w:pStyle w:val="normal11"/>
        <w:tabs>
          <w:tab w:val="clear" w:pos="720"/>
          <w:tab w:val="left" w:pos="1004" w:leader="none"/>
        </w:tabs>
        <w:spacing w:lineRule="auto" w:line="360"/>
        <w:jc w:val="both"/>
        <w:rPr/>
      </w:pPr>
      <w:r>
        <w:rPr/>
        <w:t>III. Qualificação Econômico-Financeira</w:t>
      </w:r>
    </w:p>
    <w:p>
      <w:pPr>
        <w:pStyle w:val="normal11"/>
        <w:numPr>
          <w:ilvl w:val="0"/>
          <w:numId w:val="8"/>
        </w:numPr>
        <w:tabs>
          <w:tab w:val="clear" w:pos="720"/>
          <w:tab w:val="left" w:pos="1004" w:leader="none"/>
        </w:tabs>
        <w:spacing w:lineRule="auto" w:line="360"/>
        <w:jc w:val="both"/>
        <w:rPr/>
      </w:pPr>
      <w:r>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pPr>
        <w:pStyle w:val="normal11"/>
        <w:numPr>
          <w:ilvl w:val="0"/>
          <w:numId w:val="8"/>
        </w:numPr>
        <w:tabs>
          <w:tab w:val="clear" w:pos="720"/>
          <w:tab w:val="left" w:pos="1004" w:leader="none"/>
        </w:tabs>
        <w:spacing w:lineRule="auto" w:line="360"/>
        <w:jc w:val="both"/>
        <w:rPr/>
      </w:pPr>
      <w:r>
        <w:rPr/>
        <w:t>Certidão negativa de falência expedida pelo distribuidor da sede do fornecedor - Lei n.º 14.133, de 2021, art. 69, caput, inciso II);</w:t>
      </w:r>
    </w:p>
    <w:p>
      <w:pPr>
        <w:pStyle w:val="normal11"/>
        <w:numPr>
          <w:ilvl w:val="0"/>
          <w:numId w:val="8"/>
        </w:numPr>
        <w:tabs>
          <w:tab w:val="clear" w:pos="720"/>
          <w:tab w:val="left" w:pos="1004" w:leader="none"/>
        </w:tabs>
        <w:spacing w:lineRule="auto" w:line="360"/>
        <w:jc w:val="both"/>
        <w:rPr/>
      </w:pPr>
      <w:r>
        <w:rPr/>
        <w:t>Balanço patrimonial, demonstração de resultado de exercício e demais demonstrações contábeis dos 2 (dois) últimos exercícios sociais, comprovando;</w:t>
      </w:r>
    </w:p>
    <w:p>
      <w:pPr>
        <w:pStyle w:val="normal11"/>
        <w:tabs>
          <w:tab w:val="clear" w:pos="720"/>
          <w:tab w:val="left" w:pos="1004" w:leader="none"/>
        </w:tabs>
        <w:spacing w:lineRule="auto" w:line="360"/>
        <w:jc w:val="both"/>
        <w:rPr/>
      </w:pPr>
      <w:r>
        <w:rPr/>
        <w:t>- Índices de Liquidez Geral (LG), Liquidez Corrente (LC), e Solvência Geral (SG) superiores a 1 (um);</w:t>
      </w:r>
    </w:p>
    <w:p>
      <w:pPr>
        <w:pStyle w:val="normal11"/>
        <w:tabs>
          <w:tab w:val="clear" w:pos="720"/>
          <w:tab w:val="left" w:pos="1004" w:leader="none"/>
        </w:tabs>
        <w:spacing w:lineRule="auto" w:line="360"/>
        <w:jc w:val="both"/>
        <w:rPr/>
      </w:pPr>
      <w:r>
        <w:rPr/>
        <w:t>- As empresas criadas no exercício financeiro da licitação deverão atender a todas as exigências da habilitação e poderão substituir os demonstrativos contábeis pelo balanço de abertura.</w:t>
      </w:r>
    </w:p>
    <w:p>
      <w:pPr>
        <w:pStyle w:val="normal11"/>
        <w:tabs>
          <w:tab w:val="clear" w:pos="720"/>
          <w:tab w:val="left" w:pos="1004" w:leader="none"/>
        </w:tabs>
        <w:spacing w:lineRule="auto" w:line="360"/>
        <w:jc w:val="both"/>
        <w:rPr/>
      </w:pPr>
      <w:r>
        <w:rPr/>
        <w:t>- Os documentos referidos acima limitar-se-ão ao último exercício no caso de a pessoa jurídica ter sido constituída há menos de 2 (dois) anos;</w:t>
      </w:r>
    </w:p>
    <w:p>
      <w:pPr>
        <w:pStyle w:val="normal11"/>
        <w:tabs>
          <w:tab w:val="clear" w:pos="720"/>
          <w:tab w:val="left" w:pos="1004" w:leader="none"/>
        </w:tabs>
        <w:spacing w:lineRule="auto" w:line="360"/>
        <w:jc w:val="both"/>
        <w:rPr/>
      </w:pPr>
      <w:r>
        <w:rPr/>
        <w:t>Os documentos referidos acima deverão ser exigidos com base no limite definido pela Receita Federal do Brasil para transmissão da Escrituração Contábil Digital - ECD ao Sped.</w:t>
      </w:r>
    </w:p>
    <w:p>
      <w:pPr>
        <w:pStyle w:val="normal11"/>
        <w:numPr>
          <w:ilvl w:val="0"/>
          <w:numId w:val="8"/>
        </w:numPr>
        <w:tabs>
          <w:tab w:val="clear" w:pos="720"/>
          <w:tab w:val="left" w:pos="1004" w:leader="none"/>
        </w:tabs>
        <w:spacing w:lineRule="auto" w:line="360"/>
        <w:jc w:val="both"/>
        <w:rPr/>
      </w:pPr>
      <w:r>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pPr>
        <w:pStyle w:val="normal11"/>
        <w:numPr>
          <w:ilvl w:val="0"/>
          <w:numId w:val="8"/>
        </w:numPr>
        <w:tabs>
          <w:tab w:val="clear" w:pos="720"/>
          <w:tab w:val="left" w:pos="1004" w:leader="none"/>
        </w:tabs>
        <w:spacing w:lineRule="auto" w:line="360"/>
        <w:jc w:val="both"/>
        <w:rPr/>
      </w:pPr>
      <w:r>
        <w:rPr/>
        <w:t>As empresas criadas no exercício financeiro da licitação deverão atender a todas as exigências da habilitação e poderão substituir os demonstrativos contábeis pelo balanço de abertura. (Lei n.º 14.133, de 2021, art. 65, §1º).</w:t>
      </w:r>
    </w:p>
    <w:p>
      <w:pPr>
        <w:pStyle w:val="normal11"/>
        <w:numPr>
          <w:ilvl w:val="0"/>
          <w:numId w:val="8"/>
        </w:numPr>
        <w:tabs>
          <w:tab w:val="clear" w:pos="720"/>
          <w:tab w:val="left" w:pos="1004" w:leader="none"/>
        </w:tabs>
        <w:spacing w:lineRule="auto" w:line="360"/>
        <w:jc w:val="both"/>
        <w:rPr/>
      </w:pPr>
      <w:r>
        <w:rPr/>
        <w:t>O atendimento dos índices econômicos previstos neste item deverá ser atestado mediante declaração assinada por profissional habilitado da área contábil, apresentada pelo fornecedor.</w:t>
      </w:r>
    </w:p>
    <w:p>
      <w:pPr>
        <w:pStyle w:val="normal11"/>
        <w:tabs>
          <w:tab w:val="clear" w:pos="720"/>
          <w:tab w:val="left" w:pos="1004" w:leader="none"/>
        </w:tabs>
        <w:spacing w:lineRule="auto" w:line="360"/>
        <w:jc w:val="both"/>
        <w:rPr/>
      </w:pPr>
      <w:r>
        <w:rPr/>
        <w:t>IV.</w:t>
        <w:tab/>
        <w:t>Qualificação Técnica</w:t>
      </w:r>
    </w:p>
    <w:p>
      <w:pPr>
        <w:pStyle w:val="normal11"/>
        <w:numPr>
          <w:ilvl w:val="0"/>
          <w:numId w:val="2"/>
        </w:numPr>
        <w:tabs>
          <w:tab w:val="clear" w:pos="720"/>
          <w:tab w:val="left" w:pos="1004" w:leader="none"/>
        </w:tabs>
        <w:spacing w:lineRule="auto" w:line="360"/>
        <w:jc w:val="both"/>
        <w:rPr/>
      </w:pPr>
      <w:r>
        <w:rPr/>
        <w:t>Certificado de Registro e regularidade da empresa (certidão Pessoa Jurídica) junto ao conselho Regional de Engenharia e Agronomia (CREA) ou Conselho de Arquitetura (CAU).</w:t>
      </w:r>
    </w:p>
    <w:p>
      <w:pPr>
        <w:pStyle w:val="normal11"/>
        <w:numPr>
          <w:ilvl w:val="0"/>
          <w:numId w:val="2"/>
        </w:numPr>
        <w:tabs>
          <w:tab w:val="clear" w:pos="720"/>
          <w:tab w:val="left" w:pos="1004" w:leader="none"/>
        </w:tabs>
        <w:spacing w:lineRule="auto" w:line="360"/>
        <w:jc w:val="both"/>
        <w:rPr/>
      </w:pPr>
      <w:r>
        <w:rPr/>
        <w:t>Certificado de regularidade do(s) Responsáveis Técnicos (Certidão Pessoa Física) junto ao Conselho Regional de Engenharia e Agronomia (CREA) ou Conselho de Arquitetura (CAU).</w:t>
      </w:r>
    </w:p>
    <w:p>
      <w:pPr>
        <w:pStyle w:val="normal11"/>
        <w:numPr>
          <w:ilvl w:val="0"/>
          <w:numId w:val="2"/>
        </w:numPr>
        <w:tabs>
          <w:tab w:val="clear" w:pos="720"/>
          <w:tab w:val="left" w:pos="1004" w:leader="none"/>
        </w:tabs>
        <w:spacing w:lineRule="auto" w:line="360"/>
        <w:jc w:val="both"/>
        <w:rPr/>
      </w:pPr>
      <w:r>
        <w:rPr/>
        <w:t>A empresa deverá comprovar em seu quadro permanente, vinculação profissional através de carteira profissional de trabalho, Ficha de Registro de Empregado (FRE) ou contrato de prestação de serviços que demonstrem a identificação do profissional e, na hipótese do detentor do atestado ser o proprietário ou sócio da empresa, a comprovação se dará mediante a apresentação do contrato social em vigor. A empresa deverá possuir em seu quadro:</w:t>
      </w:r>
    </w:p>
    <w:p>
      <w:pPr>
        <w:pStyle w:val="normal11"/>
        <w:numPr>
          <w:ilvl w:val="0"/>
          <w:numId w:val="37"/>
        </w:numPr>
        <w:tabs>
          <w:tab w:val="clear" w:pos="720"/>
          <w:tab w:val="left" w:pos="1004" w:leader="none"/>
        </w:tabs>
        <w:spacing w:lineRule="auto" w:line="360"/>
        <w:jc w:val="both"/>
        <w:rPr/>
      </w:pPr>
      <w:r>
        <w:rPr/>
        <w:t>01 (um) Engenheiro (a) Civil ou Arquiteto (a);</w:t>
      </w:r>
    </w:p>
    <w:p>
      <w:pPr>
        <w:pStyle w:val="normal11"/>
        <w:numPr>
          <w:ilvl w:val="0"/>
          <w:numId w:val="37"/>
        </w:numPr>
        <w:tabs>
          <w:tab w:val="clear" w:pos="720"/>
          <w:tab w:val="left" w:pos="1004" w:leader="none"/>
        </w:tabs>
        <w:spacing w:lineRule="auto" w:line="360"/>
        <w:jc w:val="both"/>
        <w:rPr/>
      </w:pPr>
      <w:r>
        <w:rPr/>
        <w:t>01 (um) Encarregado de Obras;</w:t>
      </w:r>
    </w:p>
    <w:p>
      <w:pPr>
        <w:pStyle w:val="normal11"/>
        <w:numPr>
          <w:ilvl w:val="0"/>
          <w:numId w:val="2"/>
        </w:numPr>
        <w:tabs>
          <w:tab w:val="clear" w:pos="720"/>
          <w:tab w:val="left" w:pos="1004" w:leader="none"/>
        </w:tabs>
        <w:spacing w:lineRule="auto" w:line="360"/>
        <w:jc w:val="both"/>
        <w:rPr/>
      </w:pPr>
      <w:r>
        <w:rPr/>
        <w:t>Atestado de capacidade técnico-operacional, devidamente registrado no CREA/CAU da região onde os serviços foram executados, acompanhado da respectiva Certidão de Acervo Técnico – CAT, expedida por esses Conselhos, que comprove que a licitante tenha executado, para órgão ou entidade da administração pública direta ou indireta, federal, estadual, municipal ou do Distrito Federal, ou ainda para empresa privada, obras/serviços de características técnicas similares as do objeto da presente licitação, não se admitindo atestado de fiscalização da execução de obras/serviços, cujas parcelas de maior relevância são:</w:t>
      </w:r>
    </w:p>
    <w:p>
      <w:pPr>
        <w:pStyle w:val="normal11"/>
        <w:tabs>
          <w:tab w:val="clear" w:pos="720"/>
          <w:tab w:val="left" w:pos="1004" w:leader="none"/>
        </w:tabs>
        <w:spacing w:lineRule="auto" w:line="360"/>
        <w:jc w:val="both"/>
        <w:rPr/>
      </w:pPr>
      <w:r>
        <w:rPr/>
      </w:r>
    </w:p>
    <w:tbl>
      <w:tblPr>
        <w:tblStyle w:val="8"/>
        <w:tblW w:w="9066" w:type="dxa"/>
        <w:jc w:val="left"/>
        <w:tblInd w:w="113" w:type="dxa"/>
        <w:tblLayout w:type="fixed"/>
        <w:tblCellMar>
          <w:top w:w="0" w:type="dxa"/>
          <w:left w:w="108" w:type="dxa"/>
          <w:bottom w:w="0" w:type="dxa"/>
          <w:right w:w="108" w:type="dxa"/>
        </w:tblCellMar>
        <w:tblLook w:val="0400"/>
      </w:tblPr>
      <w:tblGrid>
        <w:gridCol w:w="812"/>
        <w:gridCol w:w="2868"/>
        <w:gridCol w:w="502"/>
        <w:gridCol w:w="1767"/>
        <w:gridCol w:w="1705"/>
        <w:gridCol w:w="1412"/>
      </w:tblGrid>
      <w:tr>
        <w:trPr>
          <w:tblHeader w:val="true"/>
          <w:trHeight w:val="330" w:hRule="atLeast"/>
          <w:cantSplit w:val="true"/>
        </w:trPr>
        <w:tc>
          <w:tcPr>
            <w:tcW w:w="812" w:type="dxa"/>
            <w:tcBorders>
              <w:top w:val="single" w:sz="4" w:space="0" w:color="000000"/>
              <w:left w:val="single" w:sz="4" w:space="0" w:color="000000"/>
              <w:bottom w:val="single" w:sz="4" w:space="0" w:color="000000"/>
              <w:right w:val="single" w:sz="4" w:space="0" w:color="000000"/>
            </w:tcBorders>
            <w:shd w:color="auto" w:fill="A6A6A6" w:val="clear"/>
          </w:tcPr>
          <w:p>
            <w:pPr>
              <w:pStyle w:val="normal11"/>
              <w:widowControl/>
              <w:tabs>
                <w:tab w:val="clear" w:pos="720"/>
                <w:tab w:val="left" w:pos="1004" w:leader="none"/>
              </w:tabs>
              <w:spacing w:before="0" w:after="0"/>
              <w:jc w:val="center"/>
              <w:rPr>
                <w:sz w:val="18"/>
                <w:szCs w:val="18"/>
              </w:rPr>
            </w:pPr>
            <w:r>
              <w:rPr>
                <w:rFonts w:eastAsia="Calibri" w:cs="Calibri" w:ascii="Calibri" w:hAnsi="Calibri"/>
                <w:b/>
                <w:kern w:val="0"/>
                <w:sz w:val="18"/>
                <w:szCs w:val="18"/>
                <w:lang w:val="pt-BR" w:eastAsia="pt-BR" w:bidi="ar-SA"/>
              </w:rPr>
              <w:t>ITEM</w:t>
              <w:br/>
              <w:t>Nº</w:t>
            </w:r>
          </w:p>
        </w:tc>
        <w:tc>
          <w:tcPr>
            <w:tcW w:w="2868" w:type="dxa"/>
            <w:tcBorders>
              <w:top w:val="single" w:sz="4" w:space="0" w:color="000000"/>
              <w:left w:val="single" w:sz="4" w:space="0" w:color="000000"/>
              <w:bottom w:val="single" w:sz="4" w:space="0" w:color="000000"/>
              <w:right w:val="single" w:sz="4" w:space="0" w:color="000000"/>
            </w:tcBorders>
            <w:shd w:color="auto" w:fill="A6A6A6" w:val="clear"/>
          </w:tcPr>
          <w:p>
            <w:pPr>
              <w:pStyle w:val="normal11"/>
              <w:widowControl/>
              <w:tabs>
                <w:tab w:val="clear" w:pos="720"/>
                <w:tab w:val="left" w:pos="1004" w:leader="none"/>
              </w:tabs>
              <w:spacing w:before="0" w:after="0"/>
              <w:jc w:val="center"/>
              <w:rPr>
                <w:b/>
                <w:sz w:val="18"/>
                <w:szCs w:val="18"/>
              </w:rPr>
            </w:pPr>
            <w:r>
              <w:rPr>
                <w:rFonts w:eastAsia="Calibri" w:cs="Calibri" w:ascii="Calibri" w:hAnsi="Calibri"/>
                <w:b/>
                <w:kern w:val="0"/>
                <w:sz w:val="18"/>
                <w:szCs w:val="18"/>
                <w:lang w:val="pt-BR" w:eastAsia="pt-BR" w:bidi="ar-SA"/>
              </w:rPr>
              <w:t>DESCRIÇÃO</w:t>
            </w:r>
          </w:p>
        </w:tc>
        <w:tc>
          <w:tcPr>
            <w:tcW w:w="502" w:type="dxa"/>
            <w:tcBorders>
              <w:top w:val="single" w:sz="4" w:space="0" w:color="000000"/>
              <w:left w:val="single" w:sz="4" w:space="0" w:color="000000"/>
              <w:bottom w:val="single" w:sz="4" w:space="0" w:color="000000"/>
              <w:right w:val="single" w:sz="4" w:space="0" w:color="000000"/>
            </w:tcBorders>
            <w:shd w:color="auto" w:fill="A6A6A6" w:val="clear"/>
          </w:tcPr>
          <w:p>
            <w:pPr>
              <w:pStyle w:val="normal11"/>
              <w:widowControl/>
              <w:tabs>
                <w:tab w:val="clear" w:pos="720"/>
                <w:tab w:val="left" w:pos="1004" w:leader="none"/>
              </w:tabs>
              <w:spacing w:before="0" w:after="0"/>
              <w:jc w:val="center"/>
              <w:rPr>
                <w:b/>
                <w:sz w:val="18"/>
                <w:szCs w:val="18"/>
              </w:rPr>
            </w:pPr>
            <w:r>
              <w:rPr>
                <w:rFonts w:eastAsia="Calibri" w:cs="Calibri" w:ascii="Calibri" w:hAnsi="Calibri"/>
                <w:b/>
                <w:kern w:val="0"/>
                <w:sz w:val="18"/>
                <w:szCs w:val="18"/>
                <w:lang w:val="pt-BR" w:eastAsia="pt-BR" w:bidi="ar-SA"/>
              </w:rPr>
              <w:t>UN.</w:t>
            </w:r>
          </w:p>
        </w:tc>
        <w:tc>
          <w:tcPr>
            <w:tcW w:w="1767" w:type="dxa"/>
            <w:tcBorders>
              <w:top w:val="single" w:sz="4" w:space="0" w:color="000000"/>
              <w:left w:val="single" w:sz="4" w:space="0" w:color="000000"/>
              <w:bottom w:val="single" w:sz="4" w:space="0" w:color="000000"/>
              <w:right w:val="single" w:sz="4" w:space="0" w:color="000000"/>
            </w:tcBorders>
            <w:shd w:color="auto" w:fill="A6A6A6" w:val="clear"/>
          </w:tcPr>
          <w:p>
            <w:pPr>
              <w:pStyle w:val="normal11"/>
              <w:widowControl/>
              <w:tabs>
                <w:tab w:val="clear" w:pos="720"/>
                <w:tab w:val="left" w:pos="1004" w:leader="none"/>
              </w:tabs>
              <w:spacing w:before="0" w:after="0"/>
              <w:jc w:val="center"/>
              <w:rPr>
                <w:b/>
                <w:sz w:val="18"/>
                <w:szCs w:val="18"/>
              </w:rPr>
            </w:pPr>
            <w:r>
              <w:rPr>
                <w:rFonts w:eastAsia="Calibri" w:cs="Calibri" w:ascii="Calibri" w:hAnsi="Calibri"/>
                <w:b/>
                <w:kern w:val="0"/>
                <w:sz w:val="18"/>
                <w:szCs w:val="18"/>
                <w:lang w:val="pt-BR" w:eastAsia="pt-BR" w:bidi="ar-SA"/>
              </w:rPr>
              <w:t>EXIGÊNCIA MÍNIMA (CERTIDÃO DE ACERVO TÉCNICO)</w:t>
            </w:r>
          </w:p>
        </w:tc>
        <w:tc>
          <w:tcPr>
            <w:tcW w:w="1705" w:type="dxa"/>
            <w:tcBorders>
              <w:top w:val="single" w:sz="4" w:space="0" w:color="000000"/>
              <w:left w:val="single" w:sz="4" w:space="0" w:color="000000"/>
              <w:bottom w:val="single" w:sz="4" w:space="0" w:color="000000"/>
              <w:right w:val="single" w:sz="4" w:space="0" w:color="000000"/>
            </w:tcBorders>
            <w:shd w:color="auto" w:fill="A6A6A6" w:val="clear"/>
          </w:tcPr>
          <w:p>
            <w:pPr>
              <w:pStyle w:val="normal11"/>
              <w:widowControl/>
              <w:tabs>
                <w:tab w:val="clear" w:pos="720"/>
                <w:tab w:val="left" w:pos="1004" w:leader="none"/>
              </w:tabs>
              <w:spacing w:before="0" w:after="0"/>
              <w:jc w:val="center"/>
              <w:rPr>
                <w:b/>
                <w:sz w:val="18"/>
                <w:szCs w:val="18"/>
              </w:rPr>
            </w:pPr>
            <w:r>
              <w:rPr>
                <w:rFonts w:eastAsia="Calibri" w:cs="Calibri" w:ascii="Calibri" w:hAnsi="Calibri"/>
                <w:b/>
                <w:kern w:val="0"/>
                <w:sz w:val="18"/>
                <w:szCs w:val="18"/>
                <w:lang w:val="pt-BR" w:eastAsia="pt-BR" w:bidi="ar-SA"/>
              </w:rPr>
              <w:t>VALOR TOTAL DO SERVIÇO NA PLANILHA</w:t>
            </w:r>
          </w:p>
        </w:tc>
        <w:tc>
          <w:tcPr>
            <w:tcW w:w="1412" w:type="dxa"/>
            <w:tcBorders>
              <w:top w:val="single" w:sz="4" w:space="0" w:color="000000"/>
              <w:left w:val="single" w:sz="4" w:space="0" w:color="000000"/>
              <w:bottom w:val="single" w:sz="4" w:space="0" w:color="000000"/>
              <w:right w:val="single" w:sz="4" w:space="0" w:color="000000"/>
            </w:tcBorders>
            <w:shd w:color="auto" w:fill="A6A6A6" w:val="clear"/>
          </w:tcPr>
          <w:p>
            <w:pPr>
              <w:pStyle w:val="normal11"/>
              <w:widowControl/>
              <w:tabs>
                <w:tab w:val="clear" w:pos="720"/>
                <w:tab w:val="left" w:pos="1004" w:leader="none"/>
              </w:tabs>
              <w:spacing w:before="0" w:after="0"/>
              <w:jc w:val="center"/>
              <w:rPr>
                <w:b/>
                <w:sz w:val="18"/>
                <w:szCs w:val="18"/>
              </w:rPr>
            </w:pPr>
            <w:r>
              <w:rPr>
                <w:rFonts w:eastAsia="Calibri" w:cs="Calibri" w:ascii="Calibri" w:hAnsi="Calibri"/>
                <w:b/>
                <w:kern w:val="0"/>
                <w:sz w:val="18"/>
                <w:szCs w:val="18"/>
                <w:lang w:val="pt-BR" w:eastAsia="pt-BR" w:bidi="ar-SA"/>
              </w:rPr>
              <w:t>PERCENTUAL TOTAL DO SERVIÇO NA PLANILHA</w:t>
            </w:r>
          </w:p>
        </w:tc>
      </w:tr>
      <w:tr>
        <w:trPr>
          <w:tblHeader w:val="true"/>
          <w:trHeight w:val="300" w:hRule="atLeast"/>
          <w:cantSplit w:val="true"/>
        </w:trPr>
        <w:tc>
          <w:tcPr>
            <w:tcW w:w="8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1</w:t>
            </w:r>
          </w:p>
        </w:tc>
        <w:tc>
          <w:tcPr>
            <w:tcW w:w="286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COBERTURA E PROTEÇÕES</w:t>
            </w:r>
          </w:p>
        </w:tc>
        <w:tc>
          <w:tcPr>
            <w:tcW w:w="50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m²</w:t>
            </w:r>
          </w:p>
        </w:tc>
        <w:tc>
          <w:tcPr>
            <w:tcW w:w="176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400</w:t>
            </w:r>
          </w:p>
        </w:tc>
        <w:tc>
          <w:tcPr>
            <w:tcW w:w="170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 xml:space="preserve"> </w:t>
            </w:r>
            <w:r>
              <w:rPr>
                <w:rFonts w:eastAsia="Calibri" w:cs="Calibri" w:ascii="Calibri" w:hAnsi="Calibri"/>
                <w:kern w:val="0"/>
                <w:sz w:val="18"/>
                <w:szCs w:val="18"/>
                <w:lang w:val="pt-BR" w:eastAsia="pt-BR" w:bidi="ar-SA"/>
              </w:rPr>
              <w:t xml:space="preserve">R$           404.918,71 </w:t>
            </w:r>
          </w:p>
        </w:tc>
        <w:tc>
          <w:tcPr>
            <w:tcW w:w="14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12,30%</w:t>
            </w:r>
          </w:p>
        </w:tc>
      </w:tr>
      <w:tr>
        <w:trPr>
          <w:tblHeader w:val="true"/>
          <w:trHeight w:val="300" w:hRule="atLeast"/>
          <w:cantSplit w:val="true"/>
        </w:trPr>
        <w:tc>
          <w:tcPr>
            <w:tcW w:w="8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2</w:t>
            </w:r>
          </w:p>
        </w:tc>
        <w:tc>
          <w:tcPr>
            <w:tcW w:w="286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INSTALAÇÕES ELÉTRICAS</w:t>
            </w:r>
          </w:p>
        </w:tc>
        <w:tc>
          <w:tcPr>
            <w:tcW w:w="50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m²</w:t>
            </w:r>
          </w:p>
        </w:tc>
        <w:tc>
          <w:tcPr>
            <w:tcW w:w="176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400</w:t>
            </w:r>
          </w:p>
        </w:tc>
        <w:tc>
          <w:tcPr>
            <w:tcW w:w="170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 xml:space="preserve"> </w:t>
            </w:r>
            <w:r>
              <w:rPr>
                <w:rFonts w:eastAsia="Calibri" w:cs="Calibri" w:ascii="Calibri" w:hAnsi="Calibri"/>
                <w:kern w:val="0"/>
                <w:sz w:val="18"/>
                <w:szCs w:val="18"/>
                <w:lang w:val="pt-BR" w:eastAsia="pt-BR" w:bidi="ar-SA"/>
              </w:rPr>
              <w:t xml:space="preserve">R$           366.562,64 </w:t>
            </w:r>
          </w:p>
        </w:tc>
        <w:tc>
          <w:tcPr>
            <w:tcW w:w="14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11,13%</w:t>
            </w:r>
          </w:p>
        </w:tc>
      </w:tr>
      <w:tr>
        <w:trPr>
          <w:tblHeader w:val="true"/>
          <w:trHeight w:val="300" w:hRule="atLeast"/>
          <w:cantSplit w:val="true"/>
        </w:trPr>
        <w:tc>
          <w:tcPr>
            <w:tcW w:w="8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3</w:t>
            </w:r>
          </w:p>
        </w:tc>
        <w:tc>
          <w:tcPr>
            <w:tcW w:w="286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INSTALAÇÕES HIDROSSANITÁRIAS</w:t>
            </w:r>
          </w:p>
        </w:tc>
        <w:tc>
          <w:tcPr>
            <w:tcW w:w="50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m²</w:t>
            </w:r>
          </w:p>
        </w:tc>
        <w:tc>
          <w:tcPr>
            <w:tcW w:w="176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400</w:t>
            </w:r>
          </w:p>
        </w:tc>
        <w:tc>
          <w:tcPr>
            <w:tcW w:w="170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 xml:space="preserve"> </w:t>
            </w:r>
            <w:r>
              <w:rPr>
                <w:rFonts w:eastAsia="Calibri" w:cs="Calibri" w:ascii="Calibri" w:hAnsi="Calibri"/>
                <w:kern w:val="0"/>
                <w:sz w:val="18"/>
                <w:szCs w:val="18"/>
                <w:lang w:val="pt-BR" w:eastAsia="pt-BR" w:bidi="ar-SA"/>
              </w:rPr>
              <w:t xml:space="preserve">R$           296.208,12 </w:t>
            </w:r>
          </w:p>
        </w:tc>
        <w:tc>
          <w:tcPr>
            <w:tcW w:w="14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9,00%</w:t>
            </w:r>
          </w:p>
        </w:tc>
      </w:tr>
      <w:tr>
        <w:trPr>
          <w:tblHeader w:val="true"/>
          <w:trHeight w:val="300" w:hRule="atLeast"/>
          <w:cantSplit w:val="true"/>
        </w:trPr>
        <w:tc>
          <w:tcPr>
            <w:tcW w:w="8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4</w:t>
            </w:r>
          </w:p>
        </w:tc>
        <w:tc>
          <w:tcPr>
            <w:tcW w:w="286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REVESTIMENTOS INTERNOS E EXTERNOS</w:t>
            </w:r>
          </w:p>
        </w:tc>
        <w:tc>
          <w:tcPr>
            <w:tcW w:w="50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m²</w:t>
            </w:r>
          </w:p>
        </w:tc>
        <w:tc>
          <w:tcPr>
            <w:tcW w:w="176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400</w:t>
            </w:r>
          </w:p>
        </w:tc>
        <w:tc>
          <w:tcPr>
            <w:tcW w:w="170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 xml:space="preserve"> </w:t>
            </w:r>
            <w:r>
              <w:rPr>
                <w:rFonts w:eastAsia="Calibri" w:cs="Calibri" w:ascii="Calibri" w:hAnsi="Calibri"/>
                <w:kern w:val="0"/>
                <w:sz w:val="18"/>
                <w:szCs w:val="18"/>
                <w:lang w:val="pt-BR" w:eastAsia="pt-BR" w:bidi="ar-SA"/>
              </w:rPr>
              <w:t xml:space="preserve">R$           264.123,38 </w:t>
            </w:r>
          </w:p>
        </w:tc>
        <w:tc>
          <w:tcPr>
            <w:tcW w:w="14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8,02%</w:t>
            </w:r>
          </w:p>
        </w:tc>
      </w:tr>
      <w:tr>
        <w:trPr>
          <w:tblHeader w:val="true"/>
          <w:trHeight w:val="300" w:hRule="atLeast"/>
          <w:cantSplit w:val="true"/>
        </w:trPr>
        <w:tc>
          <w:tcPr>
            <w:tcW w:w="8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5</w:t>
            </w:r>
          </w:p>
        </w:tc>
        <w:tc>
          <w:tcPr>
            <w:tcW w:w="286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PAVIMENTAÇÕES</w:t>
            </w:r>
          </w:p>
        </w:tc>
        <w:tc>
          <w:tcPr>
            <w:tcW w:w="50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m²</w:t>
            </w:r>
          </w:p>
        </w:tc>
        <w:tc>
          <w:tcPr>
            <w:tcW w:w="176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400</w:t>
            </w:r>
          </w:p>
        </w:tc>
        <w:tc>
          <w:tcPr>
            <w:tcW w:w="170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 xml:space="preserve"> </w:t>
            </w:r>
            <w:r>
              <w:rPr>
                <w:rFonts w:eastAsia="Calibri" w:cs="Calibri" w:ascii="Calibri" w:hAnsi="Calibri"/>
                <w:kern w:val="0"/>
                <w:sz w:val="18"/>
                <w:szCs w:val="18"/>
                <w:lang w:val="pt-BR" w:eastAsia="pt-BR" w:bidi="ar-SA"/>
              </w:rPr>
              <w:t xml:space="preserve">R$           205.879,42 </w:t>
            </w:r>
          </w:p>
        </w:tc>
        <w:tc>
          <w:tcPr>
            <w:tcW w:w="14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6,25%</w:t>
            </w:r>
          </w:p>
        </w:tc>
      </w:tr>
      <w:tr>
        <w:trPr>
          <w:tblHeader w:val="true"/>
          <w:trHeight w:val="300" w:hRule="atLeast"/>
          <w:cantSplit w:val="true"/>
        </w:trPr>
        <w:tc>
          <w:tcPr>
            <w:tcW w:w="8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6</w:t>
            </w:r>
          </w:p>
        </w:tc>
        <w:tc>
          <w:tcPr>
            <w:tcW w:w="286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8"/>
                <w:szCs w:val="18"/>
              </w:rPr>
            </w:pPr>
            <w:r>
              <w:rPr>
                <w:rFonts w:eastAsia="Calibri" w:cs="Calibri" w:ascii="Calibri" w:hAnsi="Calibri"/>
                <w:b/>
                <w:kern w:val="0"/>
                <w:sz w:val="18"/>
                <w:szCs w:val="18"/>
                <w:lang w:val="pt-BR" w:eastAsia="pt-BR" w:bidi="ar-SA"/>
              </w:rPr>
              <w:t>PINTURAS INTERNAS E EXTERNAS</w:t>
            </w:r>
          </w:p>
        </w:tc>
        <w:tc>
          <w:tcPr>
            <w:tcW w:w="50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m²</w:t>
            </w:r>
          </w:p>
        </w:tc>
        <w:tc>
          <w:tcPr>
            <w:tcW w:w="176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400</w:t>
            </w:r>
          </w:p>
        </w:tc>
        <w:tc>
          <w:tcPr>
            <w:tcW w:w="170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 xml:space="preserve"> </w:t>
            </w:r>
            <w:r>
              <w:rPr>
                <w:rFonts w:eastAsia="Calibri" w:cs="Calibri" w:ascii="Calibri" w:hAnsi="Calibri"/>
                <w:kern w:val="0"/>
                <w:sz w:val="18"/>
                <w:szCs w:val="18"/>
                <w:lang w:val="pt-BR" w:eastAsia="pt-BR" w:bidi="ar-SA"/>
              </w:rPr>
              <w:t xml:space="preserve">R$           193.841,95 </w:t>
            </w:r>
          </w:p>
        </w:tc>
        <w:tc>
          <w:tcPr>
            <w:tcW w:w="141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8"/>
                <w:szCs w:val="18"/>
              </w:rPr>
            </w:pPr>
            <w:r>
              <w:rPr>
                <w:rFonts w:eastAsia="Calibri" w:cs="Calibri" w:ascii="Calibri" w:hAnsi="Calibri"/>
                <w:kern w:val="0"/>
                <w:sz w:val="18"/>
                <w:szCs w:val="18"/>
                <w:lang w:val="pt-BR" w:eastAsia="pt-BR" w:bidi="ar-SA"/>
              </w:rPr>
              <w:t>5,89%</w:t>
            </w:r>
          </w:p>
        </w:tc>
      </w:tr>
    </w:tbl>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tbl>
      <w:tblPr>
        <w:tblStyle w:val="7"/>
        <w:tblW w:w="9075" w:type="dxa"/>
        <w:jc w:val="left"/>
        <w:tblInd w:w="113" w:type="dxa"/>
        <w:tblLayout w:type="fixed"/>
        <w:tblCellMar>
          <w:top w:w="0" w:type="dxa"/>
          <w:left w:w="108" w:type="dxa"/>
          <w:bottom w:w="0" w:type="dxa"/>
          <w:right w:w="108" w:type="dxa"/>
        </w:tblCellMar>
        <w:tblLook w:val="0400"/>
      </w:tblPr>
      <w:tblGrid>
        <w:gridCol w:w="689"/>
        <w:gridCol w:w="436"/>
        <w:gridCol w:w="674"/>
        <w:gridCol w:w="2311"/>
        <w:gridCol w:w="569"/>
        <w:gridCol w:w="855"/>
        <w:gridCol w:w="705"/>
        <w:gridCol w:w="991"/>
        <w:gridCol w:w="1139"/>
        <w:gridCol w:w="706"/>
      </w:tblGrid>
      <w:tr>
        <w:trPr>
          <w:trHeight w:val="660" w:hRule="atLeast"/>
          <w:cantSplit w:val="true"/>
        </w:trPr>
        <w:tc>
          <w:tcPr>
            <w:tcW w:w="68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center"/>
              <w:rPr>
                <w:sz w:val="16"/>
                <w:szCs w:val="16"/>
              </w:rPr>
            </w:pPr>
            <w:r>
              <w:rPr>
                <w:rFonts w:eastAsia="Calibri" w:cs="Calibri" w:ascii="Calibri" w:hAnsi="Calibri"/>
                <w:b/>
                <w:kern w:val="0"/>
                <w:sz w:val="16"/>
                <w:szCs w:val="16"/>
                <w:lang w:val="pt-BR" w:eastAsia="pt-BR" w:bidi="ar-SA"/>
              </w:rPr>
              <w:t>ITEM</w:t>
              <w:br/>
              <w:t>Nº</w:t>
            </w:r>
          </w:p>
        </w:tc>
        <w:tc>
          <w:tcPr>
            <w:tcW w:w="3421"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center"/>
              <w:rPr>
                <w:b/>
                <w:sz w:val="16"/>
                <w:szCs w:val="16"/>
              </w:rPr>
            </w:pPr>
            <w:r>
              <w:rPr>
                <w:rFonts w:eastAsia="Calibri" w:cs="Calibri" w:ascii="Calibri" w:hAnsi="Calibri"/>
                <w:b/>
                <w:kern w:val="0"/>
                <w:sz w:val="16"/>
                <w:szCs w:val="16"/>
                <w:lang w:val="pt-BR" w:eastAsia="pt-BR" w:bidi="ar-SA"/>
              </w:rPr>
              <w:t>DESCRIÇÃO</w:t>
            </w:r>
          </w:p>
        </w:tc>
        <w:tc>
          <w:tcPr>
            <w:tcW w:w="56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center"/>
              <w:rPr>
                <w:b/>
                <w:sz w:val="16"/>
                <w:szCs w:val="16"/>
              </w:rPr>
            </w:pPr>
            <w:r>
              <w:rPr>
                <w:rFonts w:eastAsia="Calibri" w:cs="Calibri" w:ascii="Calibri" w:hAnsi="Calibri"/>
                <w:b/>
                <w:kern w:val="0"/>
                <w:sz w:val="16"/>
                <w:szCs w:val="16"/>
                <w:lang w:val="pt-BR" w:eastAsia="pt-BR" w:bidi="ar-SA"/>
              </w:rPr>
              <w:t>UN.</w:t>
            </w:r>
          </w:p>
        </w:tc>
        <w:tc>
          <w:tcPr>
            <w:tcW w:w="2551"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center"/>
              <w:rPr>
                <w:b/>
                <w:sz w:val="16"/>
                <w:szCs w:val="16"/>
              </w:rPr>
            </w:pPr>
            <w:r>
              <w:rPr>
                <w:rFonts w:eastAsia="Calibri" w:cs="Calibri" w:ascii="Calibri" w:hAnsi="Calibri"/>
                <w:b/>
                <w:kern w:val="0"/>
                <w:sz w:val="16"/>
                <w:szCs w:val="16"/>
                <w:lang w:val="pt-BR" w:eastAsia="pt-BR" w:bidi="ar-SA"/>
              </w:rPr>
              <w:t>EXIGÊNCIA MÍNIMA (CERTIDÃO DE ACERVO TÉCNICO)</w:t>
            </w:r>
          </w:p>
        </w:tc>
        <w:tc>
          <w:tcPr>
            <w:tcW w:w="113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center"/>
              <w:rPr>
                <w:b/>
                <w:sz w:val="16"/>
                <w:szCs w:val="16"/>
              </w:rPr>
            </w:pPr>
            <w:r>
              <w:rPr>
                <w:rFonts w:eastAsia="Calibri" w:cs="Calibri" w:ascii="Calibri" w:hAnsi="Calibri"/>
                <w:b/>
                <w:kern w:val="0"/>
                <w:sz w:val="16"/>
                <w:szCs w:val="16"/>
                <w:lang w:val="pt-BR" w:eastAsia="pt-BR" w:bidi="ar-SA"/>
              </w:rPr>
              <w:t>VALOR TOTAL DO SERVIÇO NA PLANILHA</w:t>
            </w:r>
          </w:p>
        </w:tc>
        <w:tc>
          <w:tcPr>
            <w:tcW w:w="70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center"/>
              <w:rPr>
                <w:b/>
                <w:sz w:val="16"/>
                <w:szCs w:val="16"/>
              </w:rPr>
            </w:pPr>
            <w:r>
              <w:rPr>
                <w:rFonts w:eastAsia="Calibri" w:cs="Calibri" w:ascii="Calibri" w:hAnsi="Calibri"/>
                <w:b/>
                <w:kern w:val="0"/>
                <w:sz w:val="16"/>
                <w:szCs w:val="16"/>
                <w:lang w:val="pt-BR" w:eastAsia="pt-BR" w:bidi="ar-SA"/>
              </w:rPr>
              <w:t>PERCENTUAL TOTAL DO SERVIÇO NA PLANILHA</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1</w:t>
            </w:r>
          </w:p>
        </w:tc>
        <w:tc>
          <w:tcPr>
            <w:tcW w:w="3421"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COBERTURA E PROTEÇÕES</w:t>
            </w:r>
          </w:p>
        </w:tc>
        <w:tc>
          <w:tcPr>
            <w:tcW w:w="569"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2551"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400</w:t>
            </w:r>
          </w:p>
        </w:tc>
        <w:tc>
          <w:tcPr>
            <w:tcW w:w="1139"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R$  404.918,71 </w:t>
            </w:r>
          </w:p>
        </w:tc>
        <w:tc>
          <w:tcPr>
            <w:tcW w:w="706"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12,30%</w:t>
            </w:r>
          </w:p>
        </w:tc>
      </w:tr>
      <w:tr>
        <w:trPr>
          <w:trHeight w:val="495" w:hRule="atLeast"/>
          <w:cantSplit w:val="true"/>
        </w:trPr>
        <w:tc>
          <w:tcPr>
            <w:tcW w:w="68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43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CÓDIGO</w:t>
            </w:r>
          </w:p>
        </w:tc>
        <w:tc>
          <w:tcPr>
            <w:tcW w:w="67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TABELA</w:t>
              <w:br/>
              <w:t>BASE</w:t>
            </w:r>
          </w:p>
        </w:tc>
        <w:tc>
          <w:tcPr>
            <w:tcW w:w="2311"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56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85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QUANT.</w:t>
            </w:r>
          </w:p>
        </w:tc>
        <w:tc>
          <w:tcPr>
            <w:tcW w:w="70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w:t>
              <w:br/>
              <w:t>UNITÁRIO</w:t>
            </w:r>
          </w:p>
        </w:tc>
        <w:tc>
          <w:tcPr>
            <w:tcW w:w="991"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PREÇO TOTAL</w:t>
            </w:r>
          </w:p>
        </w:tc>
        <w:tc>
          <w:tcPr>
            <w:tcW w:w="113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 TOTAL</w:t>
              <w:br/>
              <w:t>C/B.D.I.</w:t>
            </w:r>
          </w:p>
        </w:tc>
        <w:tc>
          <w:tcPr>
            <w:tcW w:w="70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w:t>
              <w:br/>
              <w:t>TOTAL</w:t>
            </w:r>
          </w:p>
        </w:tc>
      </w:tr>
      <w:tr>
        <w:trPr>
          <w:trHeight w:val="765"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6.1.1.4</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000095</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Telhamento com telha ondulada de fibrocimento e = 8 mm, com recobrimento lateral de 1 1/4 de onda para telhados, com até 2 águas, incluso içamento. </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596,10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106,06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63.220,16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78.102,18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2,3720%</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6.3.1.2</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011099</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Testeira em ACM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226,30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260,11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58.862,89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72.719,21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2,2085%</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6.3.1.1</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100773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Estrutura metálica para cobertura</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kg</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1.810,00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19,30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34.933,00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43.156,22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1,3107%</w:t>
            </w:r>
          </w:p>
        </w:tc>
      </w:tr>
      <w:tr>
        <w:trPr>
          <w:trHeight w:val="765"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6.1.1.6</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000046</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impermeabilizante  e de proteção de superfícies externas com tinta reflectiva branca, duas demãos,  tipo Hydronorth ou Nanotech</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596,10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45,12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26.896,03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33.227,35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1,0091%</w:t>
            </w:r>
          </w:p>
        </w:tc>
      </w:tr>
      <w:tr>
        <w:trPr>
          <w:trHeight w:val="765"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6.1.1.1</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092543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Trama de madeira composta por ripas, caibros e terças para telhados de até 2 águas para telha de encaixe de cerâmica ou de concreto, incluso transporte vertical</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589,30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44,21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26.052,95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32.185,81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0,9775%</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6.2.1.2</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094229</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Calha em chapa de aço galvanizado n° 24, desenvolvimento 100 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105,50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162,06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17.097,33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21.122,04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0,6415%</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6.1.1.2</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102234</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Imunização de madeiramento para cobertura utilizando cupinicida incolor (estrutura de madeira dos telhados)</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589,30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27,24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16.052,53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19.831,29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0,6023%</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6.1.1.3</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094226</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Manta aluminizada nas duas faces (subcobertura)</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596,10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22,23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13.251,30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16.370,65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0,4972%</w:t>
            </w:r>
          </w:p>
        </w:tc>
      </w:tr>
      <w:tr>
        <w:trPr>
          <w:trHeight w:val="765"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6.1.2.4</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000095</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Telhamento com telha ondulada de fibrocimento e = 8 mm, com recobrimento lateral de 1 1/4 de onda para telhados, com até 2 águas, incluso içamento. </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106,06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11.464,68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14.163,46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0,4301%</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6.3.2.2</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011099</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Testeira em ACM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22,70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260,11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5.904,49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7.294,40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0,2215%</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6.2.1.3</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094231</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Rufo engastado na alvenaria em chapa galvanizada nº 24, desenvolvimento 24cm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100,60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49,97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5.026,98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6.210,33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0,1886%</w:t>
            </w:r>
          </w:p>
        </w:tc>
      </w:tr>
      <w:tr>
        <w:trPr>
          <w:trHeight w:val="765"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6.1.2.6</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000046</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impermeabilizante  e de proteção de superfícies externas com tinta reflectiva branca, duas demãos,  tipo Hydronorth ou Nanotech</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45,12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4.877,47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6.025,62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0,1830%</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6.1.1.7</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100773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Estrutura metálica para cobertura</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kg</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248,40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19,30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4.794,12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5.922,65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0,1799%</w:t>
            </w:r>
          </w:p>
        </w:tc>
      </w:tr>
      <w:tr>
        <w:trPr>
          <w:trHeight w:val="765"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6.1.2.1</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092543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Trama de madeira composta por ripas, caibros e terças para telhados de até 2 águas para telha de encaixe de cerâmica ou de concreto, incluso transporte vertical</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103,50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44,21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4.575,73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5.652,85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0,1717%</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6.1.1.5</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Cumeeira para telha de fibrocimento ondulada e = 6 mm, incluso acessórios de fixação e içamento.</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57,70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76,66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4.423,28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5.464,52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0,1660%</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6.2.1.4</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043838</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Rufo de topo em alumínio anodizado branco</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62,90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58,04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3.650,80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4.510,19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0,1370%</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6.3.2.1</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100773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Estrutura metálica para cobertura</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kg</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181,40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19,30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3.501,02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4.325,16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0,1314%</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6.2.2.2</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094229</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Calha em chapa de aço galvanizado n° 24, desenvolvimento 100 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18,50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162,06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2.998,11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3.703,86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0,1125%</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6.1.2.2</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102234</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Imunização de madeiramento para cobertura utilizando cupinicida incolor (estrutura de madeira dos telhados)</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103,50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27,24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2.819,34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3.483,01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0,1058%</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6.1.1.9</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011099</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Testeira em ACM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10,50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260,11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2.731,15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3.374,06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0,1025%</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6.1.1.8</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094216</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Telhamento com telha metálica tipo sanduiche</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12,40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203,47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2.523,02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3.116,93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0,0947%</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6.1.2.3</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094226</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Manta aluminizada nas duas faces (subcobertura)</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22,23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2.403,06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2.968,74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0,0902%</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6.1.2.7</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100773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Estrutura metálica para cobertura</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kg</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95,60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19,30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1.845,08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2.279,41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0,0692%</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6.2.2.4</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043838</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Rufo de topo em alumínio anodizado branco</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29,30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58,04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1.700,61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2.100,93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0,0638%</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6.2.2.3</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094231</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Rufo engastado na alvenaria em chapa galvanizada nº 24, desenvolvimento 24cm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49,97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1.604,03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1.981,61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0,0602%</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6.1.2.9</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011099</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Testeira em ACM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260,11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1.508,63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1.863,76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0,0566%</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6.1.1.10</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096486</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Forro de PVC</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71,64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981,46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1.212,49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0,0368%</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6.1.2.5</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094223</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Cumeeira para telha de fibrocimento ondulada e = 6 mm, incluso acessórios de fixação e içamento.</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76,66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712,93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880,75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0,0267%</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6.2.1.1</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094228</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Calha em chapa de aço galvanizado n° 24, desenvolvimento  50 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84,14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538,49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665,25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0,0202%</w:t>
            </w:r>
          </w:p>
        </w:tc>
      </w:tr>
      <w:tr>
        <w:trPr>
          <w:trHeight w:val="765"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6.1.2.8</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000095</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Telhamento com telha ondulada de fibrocimento e = 8 mm, com recobrimento lateral de 1 1/4 de onda para telhados, com até 2 águas, incluso içamento. </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106,06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434,83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537,18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0,0163%</w:t>
            </w:r>
          </w:p>
        </w:tc>
      </w:tr>
      <w:tr>
        <w:trPr>
          <w:trHeight w:val="30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6.1.2.10</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096486</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Forro de PVC</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71,64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293,72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362,86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0,0110%</w:t>
            </w:r>
          </w:p>
        </w:tc>
      </w:tr>
      <w:tr>
        <w:trPr>
          <w:trHeight w:val="510" w:hRule="atLeast"/>
          <w:cantSplit w:val="true"/>
        </w:trPr>
        <w:tc>
          <w:tcPr>
            <w:tcW w:w="68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6.2.2.1</w:t>
            </w:r>
          </w:p>
        </w:tc>
        <w:tc>
          <w:tcPr>
            <w:tcW w:w="4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094228</w:t>
            </w:r>
          </w:p>
        </w:tc>
        <w:tc>
          <w:tcPr>
            <w:tcW w:w="6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1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Calha em chapa de aço galvanizado n° 24, desenvolvimento  50 cm</w:t>
            </w:r>
          </w:p>
        </w:tc>
        <w:tc>
          <w:tcPr>
            <w:tcW w:w="56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84,14 </w:t>
            </w:r>
          </w:p>
        </w:tc>
        <w:tc>
          <w:tcPr>
            <w:tcW w:w="99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84,14 </w:t>
            </w:r>
          </w:p>
        </w:tc>
        <w:tc>
          <w:tcPr>
            <w:tcW w:w="11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103,94 </w:t>
            </w:r>
          </w:p>
        </w:tc>
        <w:tc>
          <w:tcPr>
            <w:tcW w:w="70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0,0032%</w:t>
            </w:r>
          </w:p>
        </w:tc>
      </w:tr>
    </w:tbl>
    <w:p>
      <w:pPr>
        <w:pStyle w:val="normal11"/>
        <w:tabs>
          <w:tab w:val="clear" w:pos="720"/>
          <w:tab w:val="left" w:pos="1004" w:leader="none"/>
        </w:tabs>
        <w:spacing w:lineRule="auto" w:line="360"/>
        <w:jc w:val="both"/>
        <w:rPr/>
      </w:pPr>
      <w:r>
        <w:rPr/>
      </w:r>
    </w:p>
    <w:tbl>
      <w:tblPr>
        <w:tblStyle w:val="6"/>
        <w:tblW w:w="9066" w:type="dxa"/>
        <w:jc w:val="left"/>
        <w:tblInd w:w="113" w:type="dxa"/>
        <w:tblLayout w:type="fixed"/>
        <w:tblCellMar>
          <w:top w:w="0" w:type="dxa"/>
          <w:left w:w="108" w:type="dxa"/>
          <w:bottom w:w="0" w:type="dxa"/>
          <w:right w:w="108" w:type="dxa"/>
        </w:tblCellMar>
        <w:tblLook w:val="0400"/>
      </w:tblPr>
      <w:tblGrid>
        <w:gridCol w:w="733"/>
        <w:gridCol w:w="682"/>
        <w:gridCol w:w="650"/>
        <w:gridCol w:w="2352"/>
        <w:gridCol w:w="432"/>
        <w:gridCol w:w="699"/>
        <w:gridCol w:w="787"/>
        <w:gridCol w:w="768"/>
        <w:gridCol w:w="1005"/>
        <w:gridCol w:w="958"/>
      </w:tblGrid>
      <w:tr>
        <w:trPr>
          <w:trHeight w:val="330" w:hRule="atLeast"/>
          <w:cantSplit w:val="true"/>
        </w:trPr>
        <w:tc>
          <w:tcPr>
            <w:tcW w:w="733"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3684"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432"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2254"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EXIGÊNCIA MÍNIMA (CERTIDÃO DE ACERVO TÉCNICO)</w:t>
            </w:r>
          </w:p>
        </w:tc>
        <w:tc>
          <w:tcPr>
            <w:tcW w:w="100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VALOR TOTAL DO SERVIÇO NA PLANILHA</w:t>
            </w:r>
          </w:p>
        </w:tc>
        <w:tc>
          <w:tcPr>
            <w:tcW w:w="958"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PERCENTUAL TOTAL DO SERVIÇO NA PLANILHA</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2</w:t>
            </w:r>
          </w:p>
        </w:tc>
        <w:tc>
          <w:tcPr>
            <w:tcW w:w="3684"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INSTALAÇÕES ELÉTRICAS</w:t>
            </w:r>
          </w:p>
        </w:tc>
        <w:tc>
          <w:tcPr>
            <w:tcW w:w="43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2254"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400</w:t>
            </w:r>
          </w:p>
        </w:tc>
        <w:tc>
          <w:tcPr>
            <w:tcW w:w="100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R$                366.562,64 </w:t>
            </w:r>
          </w:p>
        </w:tc>
        <w:tc>
          <w:tcPr>
            <w:tcW w:w="95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11,13%</w:t>
            </w:r>
          </w:p>
        </w:tc>
      </w:tr>
      <w:tr>
        <w:trPr>
          <w:trHeight w:val="330" w:hRule="atLeast"/>
          <w:cantSplit w:val="true"/>
        </w:trPr>
        <w:tc>
          <w:tcPr>
            <w:tcW w:w="733"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682"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CÓDIGO</w:t>
            </w:r>
          </w:p>
        </w:tc>
        <w:tc>
          <w:tcPr>
            <w:tcW w:w="650"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TABELA</w:t>
              <w:br/>
              <w:t>BASE</w:t>
            </w:r>
          </w:p>
        </w:tc>
        <w:tc>
          <w:tcPr>
            <w:tcW w:w="2352"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432"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QUANT.</w:t>
            </w:r>
          </w:p>
        </w:tc>
        <w:tc>
          <w:tcPr>
            <w:tcW w:w="78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w:t>
              <w:br/>
              <w:t>UNITÁRIO</w:t>
            </w:r>
          </w:p>
        </w:tc>
        <w:tc>
          <w:tcPr>
            <w:tcW w:w="768"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PREÇO TOTAL</w:t>
            </w:r>
          </w:p>
        </w:tc>
        <w:tc>
          <w:tcPr>
            <w:tcW w:w="100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 TOTAL</w:t>
              <w:br/>
              <w:t>C/B.D.I.</w:t>
            </w:r>
          </w:p>
        </w:tc>
        <w:tc>
          <w:tcPr>
            <w:tcW w:w="958"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w:t>
              <w:br/>
              <w:t>TOTAL</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012022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Luminária de embutir com lâmpadas 2x18W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318,81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43.039,35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53.170,81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1,6148%</w:t>
            </w:r>
          </w:p>
        </w:tc>
      </w:tr>
      <w:tr>
        <w:trPr>
          <w:trHeight w:val="1275"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12.1.1.50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102106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Transformador  de distribuição trifásico, instalado ao tempo, resfriamento a óleo por circulação natural, potência nominal 150 KVA, tensão no primário 13,8 KV e secundário 380/220 Volts, Sistema delta estrela aterrado, padrão CELESC E-45</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25.076,43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25.076,43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30.979,42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0,9409%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PVC 70° (flexível)  450/750V.  2,5 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4.332,00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21.789,96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26.919,31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0,8175%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12.5.5.2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013040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Refletor Led 150W</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2.115,01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16.920,08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20.903,06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0,6348%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12.5.5.1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008927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Poste de iluminação 7m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2.720,21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16.321,26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20.163,28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0,6124%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040117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Eletrocalha Lisa dimensões 100x50x3000mm, Tipo "U" com tampa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174,78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15.729,92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19.432,74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0,5902%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10,0mm²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9.873,66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12.197,91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0,3705%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091834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3/4" em teto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355,20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18,68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6.635,13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8.197,03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0,2489%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de proteção geral em chapa de aço, uso interno, embutir, dimensões 68x55x25cm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6.031,77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6.031,77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7.451,64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0,2263%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097587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Luminária de embutir com lâmpadas 2x18W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318,81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5.100,96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6.301,72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0,1914%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3/4" em parede</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413,60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4.706,76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5.814,73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0,1766%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12.4.1.24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011961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Alarme Audiovisual Pne / Pcd - Emergência Nbr 9050. Sirene + Botoeira + placa em Braille</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550,50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4.404,00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5.440,70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0,1652%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16,0mm²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149,40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28,97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4.328,11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5.346,94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0,1624%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PVC 70° (flexível)  450/750V.  2,5 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4.181,93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5.166,35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0,1569%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12.2.6.2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4,0mm²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382,30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4.117,37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5.086,59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0,1545%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091992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Alta Retangular Simples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54,88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4.061,12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5.017,10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0,1524%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Média Retangular Simples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42,07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3.870,44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4.781,54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0,1452%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39,60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3.762,00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4.647,57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0,1411%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013463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de Distribuição QD-LT-3    83</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3.662,15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3.662,15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4.524,22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0,1374%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média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3.485,95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4.306,54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0,1308%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Caixa de Passagem octogonal 4x4" em PVC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3.435,20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4.243,84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0,1289%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043530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Poste de concreto circular de 11m/600 daN padrão CELESC</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un    </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3.279,03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3.279,02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4.050,90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0,1230%</w:t>
            </w:r>
          </w:p>
        </w:tc>
      </w:tr>
      <w:tr>
        <w:trPr>
          <w:trHeight w:val="765"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subterrânea padrão CELESC(85x65x80)cm, com tampa de ferro nodular(90x70)cm, classe 40KN</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1.569,60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3.139,19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3.878,15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0,1178%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25A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302,74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3.027,40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3.740,04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0,1136%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040117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Eletrocalha Lisa dimensões 100x50x3000mm, Tipo "U" com tampa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174,78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2.621,65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3.238,78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0,0984%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012233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de Distribuição QD-G  72</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2.544,50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2.544,50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3.143,47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0,0955%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092000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Baixa Retangular Simples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37,12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2.524,16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3.118,34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0,0947%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10,0mm²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133,50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2.468,41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3.049,47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0,0926%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25A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302,74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2.421,92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2.992,03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0,0909%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096978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nu 70 mm² enterrado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84,04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2.101,00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2.595,57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12.3.6.1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corrugado reforçado DN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2.084,44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2.575,11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097597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Sensor de presença, leitor 360°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76,70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2.070,90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2.558,38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0,0777%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PVC 70° (flexível)  450/750V.  6,0 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180,30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1.941,83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2.398,93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0,0729%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092008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Baixa Retangular Dupla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57,05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1.825,60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2.255,34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0,0685%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009624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Plafon de embutir com lâmpada 18W</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78,75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1.811,25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2.237,61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0,0680%</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000469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Chave fusível 100 A, tensão nominal 15 kV, corrente de curto circuito 4 kA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un    </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591,41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1.774,23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2.191,88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0,0666%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101568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120,0mm²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138,03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1.656,36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2.046,26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0,0621%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040106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Perfilado 38x38x3000mm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56,90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1.593,18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1.968,21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0,0598%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baixa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14,11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1.566,21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1.934,89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0,0588%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25A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302,74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1.513,70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1.870,02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0,0568%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12.6.2.6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25A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302,74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1.513,70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1.870,02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0,0568%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12.2.4.1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2,5mm²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1.314,10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1.623,43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0,0493%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12.2.6.1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2,5mm²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163,90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1.266,94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1.565,17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0,0475%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12.6.1.41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25A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302,74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1.210,96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1.496,01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0,0454%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Saida  para eletroduto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109,00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1.101,11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1.360,31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0,0413%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040106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Perfilado 38x38x3000mm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56,90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1.024,18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1.265,27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0,0384%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101565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70,0mm²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81,34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976,08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1.205,84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0,0366%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043369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para transformadores de corrente em chapa de aço, uso interno, embutir, dimensões 68x55x25cm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944,11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944,10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1.166,34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0,0354%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091953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1 Tecla simples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35,47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922,22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1.139,31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0,0346%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101881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de Distribuição QD-LT-2   33</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920,14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920,14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1.136,74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0,0345%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25A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302,74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908,22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1.122,01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0,0341%</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009915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Para-raios de distribuição, para sistema aterrado de 12 kV-10kA, padrão CELESC E-29</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284,96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854,88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1.056,11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0,0321%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PVC 70° (flexível)  450/750V.  4,0mm²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764,67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944,67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0,0287%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007879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Suporte vertical eletrocalha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12,57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754,20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931,73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0,0283%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12.5.5.3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010409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Arandela externa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727,45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898,69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0,0273%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12.1.1.51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093358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Escavação manual de valas</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m³</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93,43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719,41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888,75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0,0270%</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3/4" em parede</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56,80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646,38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798,53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0,0243%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101880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de Distribuição QD-LT-4    30</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644,89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644,89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796,69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0,0242%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PVC 70° (flexível)  450/750V.  4,0mm²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82,50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637,72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787,83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0,0239%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12.3.4.3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corrugado reforçado DN 1”</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35,20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608,25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751,43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0,0228%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12.1.1.52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100323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Lastro de areia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m³</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233,03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582,57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719,70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0,0219%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12.4.5.2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000650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20x20x12cm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71,28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570,24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704,47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0,0214%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091834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3/4" em teto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30,40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18,68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567,87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701,54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0,0213%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101879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de Distribuição QD-LT-3A    20</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559,39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559,39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691,07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0,0210%</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101879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Quadro de Distribuição QD-LT-5    24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559,39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559,39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691,07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0,0210%</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008297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nú 25 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kg</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174,01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556,83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687,90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011961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Alarme Audiovisual Pne / Pcd - Emergência Nbr 9050. Sirene + Botoeira + placa em Braille</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550,50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550,50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680,08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40A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169,08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507,24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626,64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0,0190%</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093673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50A,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101,40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626,34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0,0190%</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12.2.5.1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2,5mm²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494,72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611,17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6,0mm²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42,60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493,73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609,95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096985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Haste de aterramento, com conector, diâmetro 5/8”x comprimento 2,40 metro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80,83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484,98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599,14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002847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em alumínio nú com alma de aço - 2 AWG</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kg</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9,50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48,84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463,98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573,20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0,0174%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013158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Plafon de sobrepor com lâmpada 18W</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223,19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446,38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551,45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12.2.4.2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4,0mm²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40,50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436,18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538,85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Caixa de Passagem octogonal 4x4" em PVC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429,40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530,48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093012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de PVC rígido diâmetro nominal 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70,41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422,46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521,90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0,0159%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043687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medição tipo MDR, padrão CELESC, tipo MDR/HS(L55xA68xP25)cm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415,35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415,35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513,12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0,0156%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PVC 70° (flexível)  450/750V.  10,0 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19,15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383,00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473,15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0,0144%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39,60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356,40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440,29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011273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para BEP 260x520x18mm com barramento de cobre 25x5mm, padrão Celesc</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354,30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354,30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437,70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0,0133%</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092008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Baixa Retangular Dupla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57,05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342,30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422,87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40A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169,08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338,16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417,76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12.6.1.42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40A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169,08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338,16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417,76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12.4.2.10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091992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Alta Retangular Simples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54,88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329,28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406,79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000420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Cinta para poste circular, diâmetro adequado, conforme padrão celesc  F-10</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46,13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322,91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398,92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098111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inspeção de aterramento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53,19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319,14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394,26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0,0120%</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097667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de polietileno reticulado tipo Kanaflex DN 1.1/2”</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26,70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295,56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365,13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12.5.3.1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010409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Arandela externa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290,98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359,47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4,0mm²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35,20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290,04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358,31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007811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para ventilação mecânica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40,90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286,30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353,69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012845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Placa de advertência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40,42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282,94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349,54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093672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40A,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269,31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332,70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12.2.3.2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4,0mm²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22,70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244,47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302,01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0,0092%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091836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1" em teto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11,20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241,47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298,31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0,0091%</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043823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Cruzeta de aço de dimensões(90x112,5x2400)mm padrão CELESC R-02</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238,77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238,76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294,96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0,0090%</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009624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Plafon de embutir com lâmpada 18W</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78,75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236,25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291,86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093017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Luva de PVC rígido diâmetro nominal 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58,13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232,52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287,25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média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224,90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277,84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Mesa retrátil para uso de equipamentos</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223,71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223,70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276,35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013158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Plafon de sobrepor com lâmpada 18W</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223,19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223,19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275,72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4x4" em PVC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43,67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218,35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269,74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12.3.4.2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corrugado reforçado DN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16,40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208,44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257,50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12.7.1.10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012578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Saida  para perfilado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15,57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202,41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250,05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007878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Emenda Interna dimensões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201,06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248,38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12.4.5.1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39,60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244,60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12.3.5.1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corrugado reforçado DN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14,70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186,83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230,80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0,0070%</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25A Tetrapolar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184,54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184,54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227,98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092023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1 Teclas simples + Tomada 2P+T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60,35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181,05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223,66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008443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vertical para eletrocalha dimensões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22,57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180,56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223,06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091997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Média Retangular Simples 2P+T - 20A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44,33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177,32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219,06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008113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horizontal para eletrocalha dimensões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35,02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175,10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216,31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12.4.4.3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4x4" em PVC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43,67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174,68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215,79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091867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3/4" em piso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15,70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173,79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214,70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corrugado reforçado DN 1”</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172,80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213,47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baixa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14,11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169,32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209,17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Diferencial Residual (IDR), sensibilidade de 30mA – 40A Bipolar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169,08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169,08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208,88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097597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Fotocélula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76,70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189,51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097597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Sensor de presença, leitor 360°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76,70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189,51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153,12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189,16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Saida  para eletroduto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151,53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187,20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093669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20A,Curva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75,00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185,31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092000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Baixa Retangular Simples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37,12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148,48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183,43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12.1.1.53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093382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Reaterro compactado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m³</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28,04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145,80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180,12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12.5.4.1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010409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Arandela externa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145,49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179,73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12.3.3.1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corrugado reforçado DN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144,89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178,99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009891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Luminária fechada com lâmpada Led 12W</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139,85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139,85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172,77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0,0052%</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011572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70A,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136,76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136,76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168,95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0,0051%</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011572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70A,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136,76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136,76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168,95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0,0051%</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092004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Média Retangular Dupla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67,03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134,06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165,61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0,0050%</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091997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Média Retangular Simples 2P+T - 20A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44,33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132,99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164,29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0,0050%</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092984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extra flexível, seção 25 mm², padrão CELESC C-06</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31,15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124,60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153,93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092001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Baixa Retangular Simples 2P+T - 20A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118,14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145,95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Suporte parafusado com placa 4x4"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23,36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116,80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144,29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097670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de polietileno reticulado tipo Kanaflex DN 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23,16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115,80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143,05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diâmetro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113,80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140,58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007879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Suporte vertical eletrocalha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12,57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113,13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139,76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12.5.1.4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097607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Arandela interna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112,79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112,79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139,34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corrugado reforçado DN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8,80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111,84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138,16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091959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2 Teclas simples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53,82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107,64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132,97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0,0040%</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091953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1 Tecla simples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35,47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106,41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131,45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0,0040%</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093673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50A,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101,40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125,26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093673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50A,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101,40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125,26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0,0038%</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12.6.1.40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093673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50A,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101,40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101,40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125,26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12.2.5.2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4,0mm²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99,08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122,40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97,44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120,37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093026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90 de PVC rígido diâmetro nominal 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95,00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95,00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117,36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12.4.4.4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Suporte parafusado com placa 4x4"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23,36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93,44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115,43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12.4.3.1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média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89,96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111,13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093672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40A,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89,77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110,90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12.6.2.5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093672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40A, 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89,77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89,77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110,90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12.2.3.1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2,5mm²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88,12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108,86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16,0mm²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28,97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86,91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107,36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0,0033%</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102109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Suporte para transformador em poste de concreto circular</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84,23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84,23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104,05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011285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horizontal para eletrocalha dimensões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42,09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84,18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103,99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0,0032%</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091996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Média Retangular Simples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42,07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84,14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103,94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0,0032%</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83,52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103,18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007811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para ventilação mecânica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40,90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81,80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101,05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0,0031%</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101546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Isolador bastão 15 kV, material polimérico, padrão CELESC I-06</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26,19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78,57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97,06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093669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Tripolar Termomagnético DIN/IEC 25A,Curva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75,00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92,65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12.4.1.20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043427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de piso simples c/tampa latao tipo unha 20 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73,17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73,17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90,39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001673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Parafuso cabeça abaulada de diâmetro 16m x 100 mm, com porcas e arruelas padrão CELESC F-30</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un    </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72,78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89,91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12.4.2.6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091967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3 Teclas simples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72,18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72,18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89,17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12.4.3.2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091953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Interruptor 1 Tecla simples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35,47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70,94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87,63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69,60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85,98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12.6.2.4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69,60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85,98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Suporte parafusado com placa 4x2"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67,72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83,66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12.3.4.1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3/4" em parede</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66,00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81,53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011273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Alça pré formada de distribuição, padrão CELESC M-01</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64,96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80,25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101538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Armação secundária de um estribo para isolador tipo roldana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64,43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64,43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79,59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000421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Porca olhal padrão CELESC F-40</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63,36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78,27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16A,Curva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61,90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0,0023%</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16A,Curva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61,90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0,0023%</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092023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Conjunto interruptor simples+tomada universal 2P+T – 15 A-250 Volts</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60,35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60,35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74,55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012531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vertical para eletrocalha dimensões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59,85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59,85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73,93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009533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Flange para eletrocalha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59,82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73,90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0,0022%</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12.4.1.16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091993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Alta Retangular Simples 2P+T - 20A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57,14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57,14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70,59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004136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Manilha sapatilha padrão CELESC F-22</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18,70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56,10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69,30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0,0021%</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PVC 70° (flexível)  450/750V.  2,5 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5,03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50,30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62,14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12.6.1.13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16A,Curva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49,52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61,17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12.6.1.37</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16A,Curva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49,52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61,17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12.2.1.1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091927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Cabo de Cobre Isol. EPR 90° (flexível)  0,6/1kV.  2,5mm²</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8,80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49,45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61,09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32A,Curva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15,79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47,37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58,52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008443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vertical para eletrocalha dimensões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22,57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45,14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55,76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0,0017%</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003998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de PVC rígido diâmetro nominal 4” X 180°ou cabeçote 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un    </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45,07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45,07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55,67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12.3.1.4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091856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Flexível Corrugado 1" em parede</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14,18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42,54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52,55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001675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Parafuso cabeça abaulada de diâmetro 16m x 250 mm, com porcas e arruelas padrão CELESC F-31</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un    </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10,51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42,04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51,93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41,76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51,59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12.4.4.2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alta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39,60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39,60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48,92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12.4.4.5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092000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Tomada Baixa Retangular Simples 2P+T - 10A NBR14136 com Espelho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37,12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37,12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45,85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091867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Eletroduto de PVC rígido diâmetro nominal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33,21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0,0012%</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32A,Curva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15,79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31,58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39,01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0,0012%</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32A,Curva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15,79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31,58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39,01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12.7.2.10</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012578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Saida  para perfilado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15,57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31,14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38,47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0,0012%</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12.1.1.48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043829</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Sela para cruzeta padrão CELESC F45</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29,42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29,42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36,34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0,0011%</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16A,Curva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24,76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30,58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093654</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16A,Curva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12,38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24,76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30,58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091916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180 de PVC rígido diâmetro nominal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24,72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24,72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30,53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011415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alumínio para piso</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24,61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24,61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30,40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23,12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091940</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média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22,49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22,49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27,78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12.7.2.4</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007878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Emenda Interna dimensões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12.1.1.15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091936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Caixa de Passagem octogonal 4x4" em PVC </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26,52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009533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Flange para eletrocalha 100x50mm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19,94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24,63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12.7.2.9</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012557</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para perfilado 38x38mm</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15,27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15,27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18,86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0,0006%</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12.4.4.1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091941</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Passagem 4x2" em PVC baixa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14,11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14,11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17,43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12.6.1.21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25A,Curva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17,19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12.6.1.31</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093656</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25A,Curva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13,92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17,19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12.1.1.23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091902</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90 de PVC rígido diâmetro nominal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13,75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13,75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12.1.1.35</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001303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Luva de PVC rígido diâmetro nominal 3/4”</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13,48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16,65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12.6.1.36</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14,28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w:t>
            </w:r>
          </w:p>
        </w:tc>
      </w:tr>
      <w:tr>
        <w:trPr>
          <w:trHeight w:val="51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12.6.2.2</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093653</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Disjuntor Monopolar Termomagnético DIN/IEC 10A,Curva C, 220 V, 60Hz</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14,28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12.1.1.38</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002905</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Mão francesa perfilada 726 mm padrão CELESC F-19</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9,04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9,04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11,16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0,0003%</w:t>
            </w:r>
          </w:p>
        </w:tc>
      </w:tr>
      <w:tr>
        <w:trPr>
          <w:trHeight w:val="300" w:hRule="atLeast"/>
          <w:cantSplit w:val="true"/>
        </w:trPr>
        <w:tc>
          <w:tcPr>
            <w:tcW w:w="73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12.1.1.33</w:t>
            </w:r>
          </w:p>
        </w:tc>
        <w:tc>
          <w:tcPr>
            <w:tcW w:w="68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101548</w:t>
            </w:r>
          </w:p>
        </w:tc>
        <w:tc>
          <w:tcPr>
            <w:tcW w:w="65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35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Isolador tipo roldana em porcelana</w:t>
            </w:r>
          </w:p>
        </w:tc>
        <w:tc>
          <w:tcPr>
            <w:tcW w:w="4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69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7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7,36 </w:t>
            </w:r>
          </w:p>
        </w:tc>
        <w:tc>
          <w:tcPr>
            <w:tcW w:w="76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7,36 </w:t>
            </w:r>
          </w:p>
        </w:tc>
        <w:tc>
          <w:tcPr>
            <w:tcW w:w="100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9,09 </w:t>
            </w:r>
          </w:p>
        </w:tc>
        <w:tc>
          <w:tcPr>
            <w:tcW w:w="9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0,0003%</w:t>
            </w:r>
          </w:p>
        </w:tc>
      </w:tr>
    </w:tbl>
    <w:p>
      <w:pPr>
        <w:pStyle w:val="normal11"/>
        <w:tabs>
          <w:tab w:val="clear" w:pos="720"/>
          <w:tab w:val="left" w:pos="1004" w:leader="none"/>
        </w:tabs>
        <w:spacing w:lineRule="auto" w:line="360"/>
        <w:jc w:val="both"/>
        <w:rPr/>
      </w:pPr>
      <w:r>
        <w:rPr/>
      </w:r>
    </w:p>
    <w:tbl>
      <w:tblPr>
        <w:tblStyle w:val="5"/>
        <w:tblW w:w="9066" w:type="dxa"/>
        <w:jc w:val="left"/>
        <w:tblInd w:w="113" w:type="dxa"/>
        <w:tblLayout w:type="fixed"/>
        <w:tblCellMar>
          <w:top w:w="0" w:type="dxa"/>
          <w:left w:w="108" w:type="dxa"/>
          <w:bottom w:w="0" w:type="dxa"/>
          <w:right w:w="108" w:type="dxa"/>
        </w:tblCellMar>
        <w:tblLook w:val="0400"/>
      </w:tblPr>
      <w:tblGrid>
        <w:gridCol w:w="824"/>
        <w:gridCol w:w="762"/>
        <w:gridCol w:w="536"/>
        <w:gridCol w:w="1545"/>
        <w:gridCol w:w="438"/>
        <w:gridCol w:w="786"/>
        <w:gridCol w:w="885"/>
        <w:gridCol w:w="1307"/>
        <w:gridCol w:w="896"/>
        <w:gridCol w:w="1087"/>
      </w:tblGrid>
      <w:tr>
        <w:trPr>
          <w:trHeight w:val="330" w:hRule="atLeast"/>
          <w:cantSplit w:val="true"/>
        </w:trPr>
        <w:tc>
          <w:tcPr>
            <w:tcW w:w="82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2843"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438"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2978"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EXIGÊNCIA MÍNIMA (CERTIDÃO DE ACERVO TÉCNICO)</w:t>
            </w:r>
          </w:p>
        </w:tc>
        <w:tc>
          <w:tcPr>
            <w:tcW w:w="89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VALOR TOTAL DO SERVIÇO NA PLANILHA</w:t>
            </w:r>
          </w:p>
        </w:tc>
        <w:tc>
          <w:tcPr>
            <w:tcW w:w="108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PERCENTUAL TOTAL DO SERVIÇO NA PLANILHA</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3</w:t>
            </w:r>
          </w:p>
        </w:tc>
        <w:tc>
          <w:tcPr>
            <w:tcW w:w="2843"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INSTALAÇÕES HIDROSSANITÁRIAS</w:t>
            </w:r>
          </w:p>
        </w:tc>
        <w:tc>
          <w:tcPr>
            <w:tcW w:w="438"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2978"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400</w:t>
            </w:r>
          </w:p>
        </w:tc>
        <w:tc>
          <w:tcPr>
            <w:tcW w:w="896"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R$                                        296.208,12 </w:t>
            </w:r>
          </w:p>
        </w:tc>
        <w:tc>
          <w:tcPr>
            <w:tcW w:w="108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9,00%</w:t>
            </w:r>
          </w:p>
        </w:tc>
      </w:tr>
      <w:tr>
        <w:trPr>
          <w:trHeight w:val="330" w:hRule="atLeast"/>
          <w:cantSplit w:val="true"/>
        </w:trPr>
        <w:tc>
          <w:tcPr>
            <w:tcW w:w="82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762"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CÓDIGO</w:t>
            </w:r>
          </w:p>
        </w:tc>
        <w:tc>
          <w:tcPr>
            <w:tcW w:w="53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TABELA</w:t>
              <w:br/>
              <w:t>BASE</w:t>
            </w:r>
          </w:p>
        </w:tc>
        <w:tc>
          <w:tcPr>
            <w:tcW w:w="154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438"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QUANT.</w:t>
            </w:r>
          </w:p>
        </w:tc>
        <w:tc>
          <w:tcPr>
            <w:tcW w:w="88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w:t>
              <w:br/>
              <w:t>UNITÁRIO</w:t>
            </w:r>
          </w:p>
        </w:tc>
        <w:tc>
          <w:tcPr>
            <w:tcW w:w="130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PREÇO TOTAL</w:t>
            </w:r>
          </w:p>
        </w:tc>
        <w:tc>
          <w:tcPr>
            <w:tcW w:w="89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 TOTAL</w:t>
              <w:br/>
              <w:t>C/B.D.I.</w:t>
            </w:r>
          </w:p>
        </w:tc>
        <w:tc>
          <w:tcPr>
            <w:tcW w:w="108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w:t>
              <w:br/>
              <w:t>TOTAL</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012099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Bacia sanitária com caixa acoplada na cor branca (PcD), inclusive assento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2.644,37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21.154,96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26.134,83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0,7937%</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013655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Lavatório coluna suspensa na cor branca, incluso adaptador de sifão, sifão, válvula e rabicho flexivel cromado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641,39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19.241,70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23.771,19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0,7219%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102253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Divisória de granito cinza andorinha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20,60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910,27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18.751,56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23.165,67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0,7035%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14.6.4.1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099253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inspeção  de esgoto - 60x60m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613,97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12.893,37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15.928,46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0,4838%</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012209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com acionamento hidromecânico por alavanca (PcD), fechamento automático  sem intervenção do usuário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1.470,25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11.762,00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14.530,77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0,4413%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102619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Reservatorio capacidade 10.000 litros</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5.050,75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10.101,50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12.479,39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0,3790%</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003690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para lavatórios com acionamento hidromecânico, leve pressão manual e arejador, fechamento automático sem intervenção do usuário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235,75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5.893,75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7.281,13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0,2211%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100868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80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367,72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5.883,52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7.268,50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0,2207%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5.848,65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7.225,42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0,2194%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012099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Bacia sanitária com caixa acoplada na cor branca (PcD), inclusive assento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2.644,37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5.288,74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6.533,70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0,1984%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013259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Expurgo em aço inox com tampa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5.263,39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5.263,39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6.502,39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0,1975%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001889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Espelho 4mm (35x90cm) fixado com parafusos inox</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487,33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4.873,30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6.020,47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0,1828%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086932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Bacia sanitária caixa acoplada na cor branca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531,26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4.781,34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5.906,86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0,1794%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14.5.4.3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100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39,74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4.605,86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5.690,07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0,1728%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102253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Divisória de granito cinza andorinha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4,84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910,27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4.405,70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5.442,80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0,1653%</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089987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Registro de gaveta bruto, latão, roscável, 3/4", com acabamento e canopla cromados</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94,82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3.887,62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4.802,76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0,1459%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008365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Bancada em aço inox para uma cuba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1.104,20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3.864,70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4.774,45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0,1450%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14.5.4.4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093358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Escavação manual de valas</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m³</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38,70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93,43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3.615,74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4.466,88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0,1357%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240,50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3.203,46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3.957,55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0,1202%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14.5.4.5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100323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Lastro de areia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m³</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12,90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233,03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3.006,08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3.713,71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0,1128%</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012209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com acionamento hidromecânico por alavanca (PcD), fechamento automático  sem intervenção do usuário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1.470,25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2.940,50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3.632,69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0,1103%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202,30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2.694,63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3.328,94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0,1011%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102113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Bomba recalque  BCR 2010 - 1 CV</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1.316,95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2.633,90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3.253,92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0,0988%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100867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70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324,16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2.593,28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3.203,73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0,0973%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001889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Espelho cristal 4mm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487,33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2.485,38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3.070,43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0,0932%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100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58,40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39,74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2.320,81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2.867,12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0,0871%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086936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Cuba aco inox de embutir com válvula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463,67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2.318,35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2.864,08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0,0870%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14.6.4.2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esgoto diâmetro 80cm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1.074,85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2.149,69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2.655,72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0,0807%</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013655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Lavatório coluna suspensa na cor branca, incluso adaptador de sifão, sifão, válvula e rabicho flexivel cromado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641,39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1.924,17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2.377,11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0,0722%</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086919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Tanque com coluna em louça branca, incluso torneira, válvula e sifão tipo garrafa em metal cromado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940,25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1.880,50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2.323,16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0,0706%</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Bancada  em granito cinza andorinha, nas dimensões 300x60, com saia de 4cm e rodapia de 10 cm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1.747,83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1.747,82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2.159,25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0,0656%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013116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25 a 30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214,68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1.717,44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2.121,72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0,0644%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003710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Ducha higiênica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410,31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1.641,24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2.027,58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0,0616%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040140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Box em vidro temperado incolor de correr com perfis e ferragens na cor branco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334,72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1.539,69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1.902,13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0,0578%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40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66,60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23,05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1.535,13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1.896,49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0,0576%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100868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80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367,72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1.470,88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1.817,12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0,0552%</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Bancada  em granito cinza andorinha, nas dimensões 200x60, com saia de 4cm e rodapia de 10 cm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1.332,19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1.332,18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1.645,77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0,0500%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012511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Papeleira para papel higiênico de rolão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76,30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1.297,10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1.602,43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0,0487%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119,00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1.269,73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1.568,62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0,0476%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089731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1.081,33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1.335,87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0,0406%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1.067,00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1.318,17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0,0400%</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089748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90 curta, PVC, série normal, esgoto predial, DN 100mm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1.066,78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1.317,90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0,0400%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089449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1.002,83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1.238,89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0,0376%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001889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Espelho 4mm (35x90cm) fixado com parafusos inox</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487,33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974,66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1.204,09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0,0366%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000069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Bancada em granito cinza andorinha, nas dimensões 158x50cm com saia e rodapia de 10 cm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969,93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969,92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1.198,23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0,0364%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14.3.1.10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100875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Banco retrátil</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930,75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930,75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1.149,84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0,0349%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086936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Cuba aco inox de embutir com válvula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463,67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927,34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1.145,63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0,0348%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013110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40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111,78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894,24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1.104,74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0,0336%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095547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Dispenser para sabonete liquido, plástico ABS de alta resistência, na cor branca para refil 800ml</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875,42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1.081,49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0,0328%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089784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50x50mm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24,18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870,48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1.075,39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0,0327%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14.6.4.3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004717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de gordura em PVC diâmetro 30cm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423,03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846,06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1.045,22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0,0317%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086938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Cuba de embutir oval em louça branca, incluso válvula e sifão tipo garrafa em metal cromado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409,36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818,72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1.011,44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0,0307%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089449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45,70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792,89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979,53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0,0297%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090373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com bucha de latão, PVC, soldável, DN 25mm x 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753,50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930,87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0,0283%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14.5.4.6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093382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Reaterro compactado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m³</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28,04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723,43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893,72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0,0271%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32mm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711,70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879,23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0,0267%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75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699,93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864,69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0,0263%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004287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Dispenser para papel toalha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54,85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658,20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813,14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0,0247%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100867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70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324,16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648,32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800,93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0,0243%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14.9.1.20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089395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630,81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779,30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0,0237%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001672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com anel, PVC, série normal, esgoto predial, DN 40mmx1.1/2"</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628,12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775,97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0,0236%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089383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curto com bolsa e rosca para registro, PVC, soldável, DN 25mm x 3/4”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602,70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744,57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0,0226%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586,08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724,04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0,0220%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004282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sifonada, PVC, DN 150x150x50mm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55,51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555,10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685,77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086910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de parede bica móvel</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183,99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551,97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681,90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089821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Luva simples, PVC, série normal, esgoto predial, DN 100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19,42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543,76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671,76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14.5.4.1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40,50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539,46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666,44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0,0202%</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Bancada de granito cinza andorinha, nas dimensões 100x60cm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520,97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520,97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643,60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0,0195%</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089802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45 graus,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517,40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639,19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0,0194%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000068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Fraldário retrátil</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508,57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508,56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628,27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0,0191%</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089724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PVC, série normal, esgoto predial, DN 40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481,17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594,43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14.5.2.4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16,70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476,45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588,60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0,0179%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14.5.5.4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089449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27,65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470,05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580,69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0,0176%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089810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45 graus, PVC, série normal, esgoto predial, DN 100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29,64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444,60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549,25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094713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com flange e anel, PVC, soldável, DN 75mm x 2.1/2”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221,84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443,68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548,12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013116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25 a 30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214,68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429,36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530,43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100849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Assento sanitario de plastico tipo convencional</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45,93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413,37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510,67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0,0155%</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001636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simples, PVC, série normal, esgoto predial, DN 100X50mm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37,46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412,06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509,05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0,0155%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32mm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393,62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486,27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0,0148%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089513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75mm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97,97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391,88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484,12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0,0147%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089987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Registro de gaveta bruto, latão, roscável, 3/4", com acabamento e canopla cromados</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94,82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379,28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468,56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0,0142%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086910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de parede bica móvel</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183,99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367,98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454,60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Mesa em MDF Sala de Esterilização - 1,40x0,60m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345,00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345,00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426,21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0,0129%</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089785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simples, PVC, série normal, esgoto predial, DN 50x50mm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26,30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341,90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422,38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089451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44,84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336,30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415,46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089450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60mm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27,65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331,80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409,90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089726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45 graus, PVC, série normal, esgoto predial, DN 40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330,31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408,06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14.5.1.10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012613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de descarga VDE. 38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19,40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329,80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407,43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000067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Aquecedor elétrico para torneira</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310,60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310,60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383,71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PVC, soldável, DN 50mm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43,12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301,83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372,88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0,0113%</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099635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Válvula descarga 1.1/2" c/ registro - acabamento em metal cromado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294,41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294,41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363,71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14.8.3.3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094499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Registro de gaveta bruto, latão, roscável, 2.1/2”</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290,16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290,16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358,46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086914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para tanque</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140,99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281,98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348,35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086914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jardim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140,99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281,98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348,35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14.2.3.1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086914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jardim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140,99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281,98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348,35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089861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simples, PVC, série normal, esgoto predial, DN 100x100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56,29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281,45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347,70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45 graus, PVC, soldável, DN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10,48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262,00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323,67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0,0098%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089627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Tê de redução, PVC, soldável, DN 50mm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20,49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245,88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303,76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0,0092%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104344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100x50mm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39,91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239,46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295,82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0,0090%</w:t>
            </w:r>
          </w:p>
        </w:tc>
      </w:tr>
      <w:tr>
        <w:trPr>
          <w:trHeight w:val="765"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003690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para lavatórios com acionamento hidromecânico, leve pressão manual e arejador, fechamento automático sem intervenção do usuário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235,75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235,75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291,24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103985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45 graus, PVC, soldável, DN 50mm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23,47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234,70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289,94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14.5.5.2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32mm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11,70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19,88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232,59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287,34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089627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Tê de redução, PVC, soldável, DN 50mm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20,49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225,39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278,44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013110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Barra de apoio, com comprimento de 40 cm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111,78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223,56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276,18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011686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Adaptador p/ Saída de Vaso Sanitário Série Normal 100mm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219,45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271,10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14.10.2.5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215,78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266,57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14.8.3.2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094497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Registro de gaveta bruto, latão, roscável, 1.1/2”</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106,68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213,36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263,58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104348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Terminal de Ventilação Série Normal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207,20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255,97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14.4.1.5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Recorte e reinstalação de bancada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204,82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204,81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253,02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14.5.5.5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089451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44,84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192,81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238,19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14.8.3.4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099629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Válvula retenção vertical 1"</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90,69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181,38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224,07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14.5.2.5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75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180,28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222,71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097741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Cavalete de entrada de água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177,19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177,19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218,90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103999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redução PVC soldável longa DN 50mm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172,12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212,63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0,0065%</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089396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Tê com bucha de latão, PVC, soldável, DN 25mm, x 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169,52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209,42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14.9.2.7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089396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Tê com bucha de latão, PVC, soldável, DN 25mm, x 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169,52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209,42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089731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167,53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206,96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0,0063%</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104341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de redução longa, PVC, série normal, esgoto predial, DN 50x40mm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166,95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206,25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043207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75x50mm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40,54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162,15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200,32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012511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Papeleira para papel higiênico de rolão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76,30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152,60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188,52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com bucha de latão, PVC, soldável, DN 25mm, x 3/4”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16,88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151,92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187,68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14.5.2.6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100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39,74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151,01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186,55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14.9.2.4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149,38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184,54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Tê de redução, PVC, soldável, DN 60mm x 50mm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74,20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148,39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183,32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Grelha escamoteável 150mm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14,80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148,00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182,83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001184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Tê de redução, PVC, soldável, DN 75mm x 60mm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140,96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140,96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174,14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0,0053%</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094706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com flange e anel, PVC, soldável, DN 50mm x 1.1/2”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34,91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139,64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172,51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0,0052%</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090373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com bucha de latão, PVC, soldável, DN 25mm x 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137,00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169,24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14.5.4.2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136,94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169,17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0,0051%</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089737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PVC, série normal, esgoto predial, DN 75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135,18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167,00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0,0051%</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001634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simples, PVC, série normal, esgoto predial, DN 75x50mm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32,57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130,28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160,94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Tê de redução, PVC, soldável, DN 32mm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128,10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158,25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128,04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158,18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0,0048%</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095547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Dispenser para sabonete liquido, plástico ABS de alta resistência, na cor branca para refil 800ml</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125,06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154,49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14.8.3.1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094495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Registro de gaveta bruto, latão, roscável, 1”</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61,78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123,56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152,64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094796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Torneira Boia DN 25</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60,98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121,96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150,66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089784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50x50mm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24,18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120,90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149,35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14.5.3.2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119,82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148,02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14.9.2.6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089395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117,36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144,98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003708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Cabide um gancho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143,25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004283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sifonada, PVC, DN 150x150x50mm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55,51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111,02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137,15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004287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Dispenser para papel toalha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left"/>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54,85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109,70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135,52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089501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50mm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105,98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130,92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089711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série normal, esgoto predial, DN 40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23,05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103,72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128,13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32mm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14,41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100,87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124,61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0,0038%</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089783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simples, PVC, série normal, esgoto predial, DN 40x40mm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16,12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96,72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119,48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14.2.1.6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100860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Chuveiro elétrico</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91,65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91,65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113,22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14.5.3.1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90,57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111,89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14.8.1.2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089985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Registro de pressão bruto, latão, roscável, 3/4", com acabamento e canopla cromados</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90,16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90,16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111,38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14.6.3.1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089482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Caixa sifonada, PVC, DN 100x100x50mm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41,44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82,88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102,38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14.10.2.6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089449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79,81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98,59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089629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78,02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78,02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96,38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0,0029%</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001636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simples, PVC, série normal, esgoto predial, DN 100X50mm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37,46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74,92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92,55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103985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45 graus, PVC, soldável, DN 50mm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23,47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70,41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86,98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104351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Terminal de Ventilação Série Normal 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21,74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65,22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80,57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089774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Luva simples, PVC, série normal, esgoto predial, DN 75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15,91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63,64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78,62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089501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50mm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60,56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74,81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089501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50mm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60,56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74,81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0,0023%</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089383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curto com bolsa e rosca para registro, PVC, soldável, DN 25mm x 3/4”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58,80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72,64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32mm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14,41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57,64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71,20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14.9.2.5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32mm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14,41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57,64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71,20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0,0022%</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089726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45 graus, PVC, série normal, esgoto predial, DN 40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11,39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56,95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70,35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0,0021%</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089744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PVC, série normal, esgoto predial, DN 100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27,47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54,94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67,87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0,0021%</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53,35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65,90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0,0020%</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103999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redução PVC soldável longa DN 50mm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52,96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65,42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Tê de redução, PVC, soldável, DN 60mm x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52,79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52,78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65,20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0,0020%</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001655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Redução excêntrica, PVC, série normal, esgoto predial, DN 75x50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17,55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52,65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65,04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14.3.1.4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095545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Saboneteira de parede</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52,06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52,06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64,31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0,0020%</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com bucha de latão, PVC, soldável, DN 25mm, x 3/4”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16,88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50,64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62,56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089802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45 graus,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61,46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14.7.3.1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089802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45 graus, PVC, série normal, esgoto predial, DN 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61,46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089625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23,56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47,12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58,21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14.9.4.9</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103985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45 graus, PVC, soldável, DN 50mm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23,47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46,94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57,98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104003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redução PVC soldável curta DN 50mm x 32mm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46,08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56,92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0,0017%</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001672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com anel, PVC, série normal, esgoto predial, DN 40mmx1.1/2"</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45,96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56,77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104346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100x75mm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43,97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43,97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54,32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14.9.3.2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089362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25mm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42,68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52,72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089796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100x100mm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42,58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42,58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52,60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089796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100x100mm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42,58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42,58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52,60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089748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Curva 90 curta, PVC, série normal, esgoto predial, DN 100mm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41,03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50,68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14.10.2.4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089627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Tê de redução, PVC, soldável, DN 50mm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20,49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40,98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50,62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14.5.5.3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089448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40mm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17,35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39,90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49,29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0,0015%</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001656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Redução excêntrica, PVC, série normal, esgoto predial, DN 100x50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19,68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39,36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48,62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14.5.2.7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012613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de descarga VDE. 38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19,40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38,80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47,93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14.7.1.23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089786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75x75mm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37,80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37,80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46,69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089786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série normal, esgoto predial, DN 75x75mm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37,80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37,80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46,69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0,0014%</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094705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com flange e anel, PVC, soldável, DN 40mm x 1.1/4”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35,55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35,55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43,91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0,0013%</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001655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Redução excêntrica, PVC, série normal, esgoto predial, DN 75x50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17,55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35,10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43,36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0,0013%</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089724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PVC, série normal, esgoto predial, DN 40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11,19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33,57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41,47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0,0013%</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14.5.5.1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089402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Tubo,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33,30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41,13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14.6.3.2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Grelha escamoteável 100mm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32,60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40,27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0,0012%</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Grelha escamoteável 150mm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14,80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29,60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36,56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0,0011%</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14.9.1.7</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103972</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redução PVC soldável longa DN 75mm x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35,24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0,0011%</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14.9.3.1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090373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com bucha de latão, PVC, soldável, DN 25mm x 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27,40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33,84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0,0010%</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094704</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com flange e anel, PVC, soldável, DN 32mm x 1”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26,32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26,32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32,51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0,0010%</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14.7.2.8</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089785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Junção simples, PVC, série normal, esgoto predial, DN 50x50mm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26,30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26,30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32,49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0,0010%</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14.9.1.22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089625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23,56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23,56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29,10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011686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Adaptador p/ Saída de Vaso Sanitário Série Normal 100mm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11,55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23,10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0,0009%</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089737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90 graus, PVC, série normal, esgoto predial, DN 75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22,53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22,53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27,83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104351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Terminal de Ventilação Série Normal 75mm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21,74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21,74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26,85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089596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curto com bolsa e rosca para registro, PVC, soldável, DN 50mm x 1.1/2”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21,68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26,78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14.7.1.10</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089806</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Joelho 45 graus, PVC, série normal, esgoto predial, DN 75 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21,14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26,11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14.6.1.3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104327</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Ralo sifonado 100x40mm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20,26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20,26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14.9.1.21</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089398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32mm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24,74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089398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32mm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20,03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20,03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24,74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0,0008%</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094703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Adaptador com flange e anel, PVC, soldável, DN 25mm x 3/4”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19,98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19,98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24,68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103953</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redução PVC soldável curta DN 32mm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8,10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16,20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14.9.1.6</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103959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redução PVC soldável curta DN 60mm x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15,41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15,41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19,03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0,0006%</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14.9.3.3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089395</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 PVC, soldável, DN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14,67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14,67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0,0006%</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14.9.1.4</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103999</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Bucha redução PVC soldável longa DN 50mm x 25mm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51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14.9.1.13</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089381</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Luva com bucha de latão, PVC, soldável, DN 25mm, x 3/4”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12,74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12,74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15,73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14.9.4.12</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103980</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Joelho 90 graus, PVC, soldável, DN 40mm </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10,82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10,82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w:t>
            </w:r>
          </w:p>
        </w:tc>
      </w:tr>
      <w:tr>
        <w:trPr>
          <w:trHeight w:val="300" w:hRule="atLeast"/>
          <w:cantSplit w:val="true"/>
        </w:trPr>
        <w:tc>
          <w:tcPr>
            <w:tcW w:w="82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14.7.2.15</w:t>
            </w:r>
          </w:p>
        </w:tc>
        <w:tc>
          <w:tcPr>
            <w:tcW w:w="76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104348</w:t>
            </w:r>
          </w:p>
        </w:tc>
        <w:tc>
          <w:tcPr>
            <w:tcW w:w="53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4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Terminal de Ventilação Série Normal 50mm</w:t>
            </w:r>
          </w:p>
        </w:tc>
        <w:tc>
          <w:tcPr>
            <w:tcW w:w="43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un</w:t>
            </w:r>
          </w:p>
        </w:tc>
        <w:tc>
          <w:tcPr>
            <w:tcW w:w="78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 </w:t>
            </w:r>
          </w:p>
        </w:tc>
        <w:tc>
          <w:tcPr>
            <w:tcW w:w="8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10,36 </w:t>
            </w:r>
          </w:p>
        </w:tc>
        <w:tc>
          <w:tcPr>
            <w:tcW w:w="130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10,36 </w:t>
            </w:r>
          </w:p>
        </w:tc>
        <w:tc>
          <w:tcPr>
            <w:tcW w:w="8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w:t>
            </w:r>
          </w:p>
        </w:tc>
      </w:tr>
    </w:tbl>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tbl>
      <w:tblPr>
        <w:tblStyle w:val="4"/>
        <w:tblW w:w="9066" w:type="dxa"/>
        <w:jc w:val="left"/>
        <w:tblInd w:w="113" w:type="dxa"/>
        <w:tblLayout w:type="fixed"/>
        <w:tblCellMar>
          <w:top w:w="0" w:type="dxa"/>
          <w:left w:w="108" w:type="dxa"/>
          <w:bottom w:w="0" w:type="dxa"/>
          <w:right w:w="108" w:type="dxa"/>
        </w:tblCellMar>
        <w:tblLook w:val="0400"/>
      </w:tblPr>
      <w:tblGrid>
        <w:gridCol w:w="497"/>
        <w:gridCol w:w="561"/>
        <w:gridCol w:w="537"/>
        <w:gridCol w:w="2814"/>
        <w:gridCol w:w="376"/>
        <w:gridCol w:w="585"/>
        <w:gridCol w:w="639"/>
        <w:gridCol w:w="626"/>
        <w:gridCol w:w="1227"/>
        <w:gridCol w:w="1204"/>
      </w:tblGrid>
      <w:tr>
        <w:trPr>
          <w:trHeight w:val="630" w:hRule="atLeast"/>
          <w:cantSplit w:val="true"/>
        </w:trPr>
        <w:tc>
          <w:tcPr>
            <w:tcW w:w="49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3912"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37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1850"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EXIGÊNCIA MÍNIMA (CERTIDÃO DE ACERVO TÉCNICO)</w:t>
            </w:r>
          </w:p>
        </w:tc>
        <w:tc>
          <w:tcPr>
            <w:tcW w:w="122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VALOR TOTAL DO SERVIÇO NA PLANILHA</w:t>
            </w:r>
          </w:p>
        </w:tc>
        <w:tc>
          <w:tcPr>
            <w:tcW w:w="120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PERCENTUAL TOTAL DO SERVIÇO NA PLANILHA</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4</w:t>
            </w:r>
          </w:p>
        </w:tc>
        <w:tc>
          <w:tcPr>
            <w:tcW w:w="3912"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REVESTIMENTOS INTERNOS E EXTERNOS</w:t>
            </w:r>
          </w:p>
        </w:tc>
        <w:tc>
          <w:tcPr>
            <w:tcW w:w="376"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1850"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400</w:t>
            </w:r>
          </w:p>
        </w:tc>
        <w:tc>
          <w:tcPr>
            <w:tcW w:w="122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R$           264.123,38 </w:t>
            </w:r>
          </w:p>
        </w:tc>
        <w:tc>
          <w:tcPr>
            <w:tcW w:w="1204"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8,02%</w:t>
            </w:r>
          </w:p>
        </w:tc>
      </w:tr>
      <w:tr>
        <w:trPr>
          <w:trHeight w:val="495" w:hRule="atLeast"/>
          <w:cantSplit w:val="true"/>
        </w:trPr>
        <w:tc>
          <w:tcPr>
            <w:tcW w:w="49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561"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CÓDIGO</w:t>
            </w:r>
          </w:p>
        </w:tc>
        <w:tc>
          <w:tcPr>
            <w:tcW w:w="53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TABELA</w:t>
              <w:br/>
              <w:t>BASE</w:t>
            </w:r>
          </w:p>
        </w:tc>
        <w:tc>
          <w:tcPr>
            <w:tcW w:w="281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37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58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QUANT.</w:t>
            </w:r>
          </w:p>
        </w:tc>
        <w:tc>
          <w:tcPr>
            <w:tcW w:w="63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w:t>
              <w:br/>
              <w:t>UNITÁRIO</w:t>
            </w:r>
          </w:p>
        </w:tc>
        <w:tc>
          <w:tcPr>
            <w:tcW w:w="62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PREÇO TOTAL</w:t>
            </w:r>
          </w:p>
        </w:tc>
        <w:tc>
          <w:tcPr>
            <w:tcW w:w="122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 TOTAL</w:t>
              <w:br/>
              <w:t>C/B.D.I.</w:t>
            </w:r>
          </w:p>
        </w:tc>
        <w:tc>
          <w:tcPr>
            <w:tcW w:w="120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w:t>
              <w:br/>
              <w:t>TOTAL</w:t>
            </w:r>
          </w:p>
        </w:tc>
      </w:tr>
      <w:tr>
        <w:trPr>
          <w:trHeight w:val="51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7.2.1.1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096114</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Forro em gesso acartonado, inclusive estrutura de fixação</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600,90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77,57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46.611,81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57.584,23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1,7488%</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7.1.1.2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553,10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44.270,12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54.691,30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1,6610%</w:t>
            </w:r>
          </w:p>
        </w:tc>
      </w:tr>
      <w:tr>
        <w:trPr>
          <w:trHeight w:val="51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7.1.1.4</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087273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acetinado 30x40cm na cor branca com rejunte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444,60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65,27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29.019,04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35.850,12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1,0888%</w:t>
            </w:r>
          </w:p>
        </w:tc>
      </w:tr>
      <w:tr>
        <w:trPr>
          <w:trHeight w:val="51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7.2.1.2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009083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Forro em placa mineral modular – 625x625mm – cor branco</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197,80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90,00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17.802,00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21.992,59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0,6679%</w:t>
            </w:r>
          </w:p>
        </w:tc>
      </w:tr>
      <w:tr>
        <w:trPr>
          <w:trHeight w:val="76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7.3.1.1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042763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Pastilha 10x10cm na cor cinza claro assentada com argamassa industrial TIPO AC-2 ou equivalente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116,50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13.510,98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16.691,46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0,5069%</w:t>
            </w:r>
          </w:p>
        </w:tc>
      </w:tr>
      <w:tr>
        <w:trPr>
          <w:trHeight w:val="51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7.2.2.1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096114</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Forro em gesso acartonado, inclusive estrutura de fixação</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91,80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77,57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7.120,92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8.797,18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0,2672%</w:t>
            </w:r>
          </w:p>
        </w:tc>
      </w:tr>
      <w:tr>
        <w:trPr>
          <w:trHeight w:val="51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7.1.2.4</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087273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acetinado 30x40cm na cor branca com rejunte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103,60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65,27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6.761,97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8.353,73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0,2537%</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7.1.2.2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5.770,88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7.129,34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0,2165%</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7.1.6.2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5.770,88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7.129,34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0,2165%</w:t>
            </w:r>
          </w:p>
        </w:tc>
      </w:tr>
      <w:tr>
        <w:trPr>
          <w:trHeight w:val="76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7.3.2.1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042763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Pastilha 10x10cm na cor cinza claro assentada com argamassa industrial TIPO AC-2 ou equivalente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44,80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5.195,64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6.418,69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0,1949%</w:t>
            </w:r>
          </w:p>
        </w:tc>
      </w:tr>
      <w:tr>
        <w:trPr>
          <w:trHeight w:val="76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7.3.3.3</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042763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Pastilha 10x10cm na cor azul escuro assentada com argamassa industrial TIPO AC-2 ou equivalente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4.001,10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4.942,95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0,1501%</w:t>
            </w:r>
          </w:p>
        </w:tc>
      </w:tr>
      <w:tr>
        <w:trPr>
          <w:trHeight w:val="127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7.3.6.2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087792</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em panos cegos de fachada (sem presença de vãos),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43,73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3.459,04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4.273,29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0,1298%</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7.1.1.3</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000047</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Requadramento de vãos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132,50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18,83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2.495,37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3.082,78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0,0936%</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7.1.3.2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2.361,18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2.917,00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0,0886%</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7.1.5.2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2.361,18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2.917,00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0,0886%</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7.1.4.2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2.217,10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2.739,00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0,0832%</w:t>
            </w:r>
          </w:p>
        </w:tc>
      </w:tr>
      <w:tr>
        <w:trPr>
          <w:trHeight w:val="51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7.1.4.3</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087273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acetinado 30x40cm na cor branca com rejunte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65,27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1.807,97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2.233,56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0,0678%</w:t>
            </w:r>
          </w:p>
        </w:tc>
      </w:tr>
      <w:tr>
        <w:trPr>
          <w:trHeight w:val="127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7.3.3.2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087792</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em panos cegos de fachada (sem presença de vãos),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43,73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1.508,68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1.863,82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0,0566%</w:t>
            </w:r>
          </w:p>
        </w:tc>
      </w:tr>
      <w:tr>
        <w:trPr>
          <w:trHeight w:val="127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7.3.4.2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087792</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em panos cegos de fachada (sem presença de vãos),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43,73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1.246,30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1.539,67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0,0468%</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7.1.7.2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1.216,60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1.502,98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0,0456%</w:t>
            </w:r>
          </w:p>
        </w:tc>
      </w:tr>
      <w:tr>
        <w:trPr>
          <w:trHeight w:val="76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7.3.1.2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042763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Deinfra</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Pastilha 10x10cm na cor azul escuro assentada com argamassa industrial TIPO AC-2 ou equivalente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1.124,94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1.389,75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0,0422%</w:t>
            </w:r>
          </w:p>
        </w:tc>
      </w:tr>
      <w:tr>
        <w:trPr>
          <w:trHeight w:val="127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7.3.7.2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087792</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em panos cegos de fachada (sem presença de vãos),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43,73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940,19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1.161,51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0,0353%</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7.1.8.2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087825</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nas paredes internas,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10,40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80,04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832,41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1.028,35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0,0312%</w:t>
            </w:r>
          </w:p>
        </w:tc>
      </w:tr>
      <w:tr>
        <w:trPr>
          <w:trHeight w:val="51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7.1.8.3</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087273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acetinado 30x40cm na cor branca com rejunte</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10,40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65,27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678,80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838,58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0,0255%</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7.3.6.1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087893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 (sem presença de vãos) e estruturas de concreto de fachada, com colher de pedreiro.  Argamassa traço 1:3 com preparo manual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8,26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653,36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807,16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0,0245%</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7.1.1.1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121,00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601,37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742,93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0,0226%</w:t>
            </w:r>
          </w:p>
        </w:tc>
      </w:tr>
      <w:tr>
        <w:trPr>
          <w:trHeight w:val="127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7.3.8.2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087792</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em panos cegos de fachada (sem presença de vãos),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43,73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555,37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686,10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0,0208%</w:t>
            </w:r>
          </w:p>
        </w:tc>
      </w:tr>
      <w:tr>
        <w:trPr>
          <w:trHeight w:val="1275"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7.3.5.2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087792</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ou massa única em argamassa traço 1:2:8, preparo mecânico com betoneira 400 l, aplicada manualmente em panos cegos de fachada (sem presença de vãos), espessura de 25 mm</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43,73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432,92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534,82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0,0162%</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7.1.2.3</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000047</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Requadramento de vãos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18,83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376,66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465,32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0,0141%</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7.1.6.1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358,33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442,68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0,0134%</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7.2.3.2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090406</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47,21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287,98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355,77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0,0108%</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7.3.3.1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087893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 (sem presença de vãos) e estruturas de concreto de fachada, com colher de pedreiro.  Argamassa traço 1:3 com preparo manual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8,26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284,97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352,05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0,0107%</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7.2.5.2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090406</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47,21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240,77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297,44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0,0090%</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7.3.4.1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087893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 (sem presença de vãos) e estruturas de concreto de fachada, com colher de pedreiro.  Argamassa traço 1:3 com preparo manual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8,26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235,41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290,82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0,0088%</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7.3.7.1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087893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 (sem presença de vãos) e estruturas de concreto de fachada, com colher de pedreiro.  Argamassa traço 1:3 com preparo manual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8,26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177,59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219,39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0,0067%</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7.2.4.2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090406</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47,21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174,67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215,78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0,0066%</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7.1.3.1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146,61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181,12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0,0055%</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7.1.4.1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137,66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170,06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0,0052%</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7.2.7.2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090406</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47,21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129,82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160,37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0,0049%</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7.2.6.2</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090406</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Emboço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47,21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118,02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145,80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0,0044%</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7.3.8.1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087893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 (sem presença de vãos) e estruturas de concreto de fachada, com colher de pedreiro.  Argamassa traço 1:3 com preparo manual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8,26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104,90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129,59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0,0039%</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7.2.3.1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087887</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94,18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116,34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0,0035%</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7.1.2.1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18,80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93,43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115,42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0,0035%</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7.3.5.1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087893</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 (sem presença de vãos) e estruturas de concreto de fachada, com colher de pedreiro.  Argamassa traço 1:3 com preparo manual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8,26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81,77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101,01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0,0031%</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7.1.5.1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81,01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100,07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0,0030%</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7.2.5.1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087887</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78,74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97,27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0,0030%</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7.1.7.1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15,20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75,54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93,32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0,0028%</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7.2.4.1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087887</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57,12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70,56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0,0021%</w:t>
            </w:r>
          </w:p>
        </w:tc>
      </w:tr>
      <w:tr>
        <w:trPr>
          <w:trHeight w:val="102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7.1.8.1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087879</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aplicado em alvenarias e estruturas de concreto internas, com colher de pedreiro.  Argamassa traço 1:3 com preparo em betoneira 400l</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10,40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4,97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51,68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63,84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7.2.7.1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087887</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42,46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52,45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300" w:hRule="atLeast"/>
          <w:cantSplit w:val="true"/>
        </w:trPr>
        <w:tc>
          <w:tcPr>
            <w:tcW w:w="4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7.2.6.1</w:t>
            </w:r>
          </w:p>
        </w:tc>
        <w:tc>
          <w:tcPr>
            <w:tcW w:w="5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087887</w:t>
            </w:r>
          </w:p>
        </w:tc>
        <w:tc>
          <w:tcPr>
            <w:tcW w:w="53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81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Chapisco em tetos</w:t>
            </w:r>
          </w:p>
        </w:tc>
        <w:tc>
          <w:tcPr>
            <w:tcW w:w="37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58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63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15,44 </w:t>
            </w:r>
          </w:p>
        </w:tc>
        <w:tc>
          <w:tcPr>
            <w:tcW w:w="62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38,60 </w:t>
            </w:r>
          </w:p>
        </w:tc>
        <w:tc>
          <w:tcPr>
            <w:tcW w:w="122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47,68 </w:t>
            </w:r>
          </w:p>
        </w:tc>
        <w:tc>
          <w:tcPr>
            <w:tcW w:w="120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0,0014%</w:t>
            </w:r>
          </w:p>
        </w:tc>
      </w:tr>
    </w:tbl>
    <w:p>
      <w:pPr>
        <w:pStyle w:val="normal11"/>
        <w:tabs>
          <w:tab w:val="clear" w:pos="720"/>
          <w:tab w:val="left" w:pos="1004" w:leader="none"/>
        </w:tabs>
        <w:spacing w:lineRule="auto" w:line="360"/>
        <w:jc w:val="both"/>
        <w:rPr/>
      </w:pPr>
      <w:r>
        <w:rPr/>
      </w:r>
    </w:p>
    <w:tbl>
      <w:tblPr>
        <w:tblStyle w:val="3"/>
        <w:tblW w:w="9066" w:type="dxa"/>
        <w:jc w:val="left"/>
        <w:tblInd w:w="113" w:type="dxa"/>
        <w:tblLayout w:type="fixed"/>
        <w:tblCellMar>
          <w:top w:w="0" w:type="dxa"/>
          <w:left w:w="108" w:type="dxa"/>
          <w:bottom w:w="0" w:type="dxa"/>
          <w:right w:w="108" w:type="dxa"/>
        </w:tblCellMar>
        <w:tblLook w:val="0400"/>
      </w:tblPr>
      <w:tblGrid>
        <w:gridCol w:w="654"/>
        <w:gridCol w:w="474"/>
        <w:gridCol w:w="709"/>
        <w:gridCol w:w="2230"/>
        <w:gridCol w:w="466"/>
        <w:gridCol w:w="747"/>
        <w:gridCol w:w="877"/>
        <w:gridCol w:w="855"/>
        <w:gridCol w:w="979"/>
        <w:gridCol w:w="1075"/>
      </w:tblGrid>
      <w:tr>
        <w:trPr>
          <w:trHeight w:val="330" w:hRule="atLeast"/>
          <w:cantSplit w:val="true"/>
        </w:trPr>
        <w:tc>
          <w:tcPr>
            <w:tcW w:w="65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3413"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46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2479"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EXIGÊNCIA MÍNIMA (CERTIDÃO DE ACERVO TÉCNICO)</w:t>
            </w:r>
          </w:p>
        </w:tc>
        <w:tc>
          <w:tcPr>
            <w:tcW w:w="97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VALOR TOTAL DO SERVIÇO NA PLANILHA</w:t>
            </w:r>
          </w:p>
        </w:tc>
        <w:tc>
          <w:tcPr>
            <w:tcW w:w="107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PERCENTUAL TOTAL DO SERVIÇO NA PLANILHA</w:t>
            </w:r>
          </w:p>
        </w:tc>
      </w:tr>
      <w:tr>
        <w:trPr>
          <w:trHeight w:val="300" w:hRule="atLeast"/>
          <w:cantSplit w:val="true"/>
        </w:trPr>
        <w:tc>
          <w:tcPr>
            <w:tcW w:w="654"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5</w:t>
            </w:r>
          </w:p>
        </w:tc>
        <w:tc>
          <w:tcPr>
            <w:tcW w:w="3413"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PAVIMENTAÇÕES</w:t>
            </w:r>
          </w:p>
        </w:tc>
        <w:tc>
          <w:tcPr>
            <w:tcW w:w="466"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2479"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400</w:t>
            </w:r>
          </w:p>
        </w:tc>
        <w:tc>
          <w:tcPr>
            <w:tcW w:w="979"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R$                                        205.879,42 </w:t>
            </w:r>
          </w:p>
        </w:tc>
        <w:tc>
          <w:tcPr>
            <w:tcW w:w="1075"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6,25%</w:t>
            </w:r>
          </w:p>
        </w:tc>
      </w:tr>
      <w:tr>
        <w:trPr>
          <w:trHeight w:val="495" w:hRule="atLeast"/>
          <w:cantSplit w:val="true"/>
        </w:trPr>
        <w:tc>
          <w:tcPr>
            <w:tcW w:w="65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47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CÓDIGO</w:t>
            </w:r>
          </w:p>
        </w:tc>
        <w:tc>
          <w:tcPr>
            <w:tcW w:w="70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TABELA</w:t>
              <w:br/>
              <w:t>BASE</w:t>
            </w:r>
          </w:p>
        </w:tc>
        <w:tc>
          <w:tcPr>
            <w:tcW w:w="2230"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46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74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QUANT.</w:t>
            </w:r>
          </w:p>
        </w:tc>
        <w:tc>
          <w:tcPr>
            <w:tcW w:w="87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w:t>
              <w:br/>
              <w:t>UNITÁRIO</w:t>
            </w:r>
          </w:p>
        </w:tc>
        <w:tc>
          <w:tcPr>
            <w:tcW w:w="85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PREÇO TOTAL</w:t>
            </w:r>
          </w:p>
        </w:tc>
        <w:tc>
          <w:tcPr>
            <w:tcW w:w="979"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 TOTAL</w:t>
              <w:br/>
              <w:t>C/B.D.I.</w:t>
            </w:r>
          </w:p>
        </w:tc>
        <w:tc>
          <w:tcPr>
            <w:tcW w:w="1075"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w:t>
              <w:br/>
              <w:t>TOTAL</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9.1.1.4</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104598</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maior que 10 m²</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629,10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106,80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67.187,88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83.003,90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2,5208%</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9.1.1.1</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087745</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Contrapiso em argamassa traço 1:4 (cim e areia), em betoneira 400 l, espessura 3 cm áreas secas e 3 cm áreas molhadas, para edificação pública padrão</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798,80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58,81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46.977,42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58.035,90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1,7626%</w:t>
            </w:r>
          </w:p>
        </w:tc>
      </w:tr>
      <w:tr>
        <w:trPr>
          <w:trHeight w:val="30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9.1.1.8</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000051</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Rodapé em porcelanato, altura 10cm</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537,60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34,65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18.626,45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23.011,11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0,6989%</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9.1.1.6</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000049</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entre 5 m² e 10 m², com rejunte epoxi</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54,40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172,65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9.392,36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11.603,32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0,3524%</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9.1.1.7</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000050</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maior que 10 m², com rejunte epoxi</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58,60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158,46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9.285,50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11.471,30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0,3484%</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9.1.1.5</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000048</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menor que 5 m², com rejunte epoxi</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30,60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190,28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5.822,47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7.193,07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0,2185%</w:t>
            </w:r>
          </w:p>
        </w:tc>
      </w:tr>
      <w:tr>
        <w:trPr>
          <w:trHeight w:val="30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9.1.1.9</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000052</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CPU</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Rodapé em porcelanato com rejunte epoxi, altura 10cm</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88,80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35,80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3.179,20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3.927,58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0,1193%</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9.1.1.3</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104597</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entre 5 m² e 10 m²</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18,50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119,92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2.218,52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2.740,75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0,0832%</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9.1.1.2</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104596</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menor que 5 m²</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135,36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1.028,73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1.270,89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0,0386%</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9.1.3.2</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104597</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entre 5 m² e 10 m²</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119,92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731,51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903,70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0,0274%</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9.1.5.1</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098682</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Piso cimentado, traço 1:3 (cimento e areia), acabamento rústico, espessura 3,0 cm, preparo mecânico da argamassa. (concreto desempenado)</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49,16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643,99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795,58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0,0242%</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9.1.3.1</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087745</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Contrapiso em argamassa traço 1:4 (cim e areia), em betoneira 400 l, espessura 3 cm áreas secas e 3 cm áreas molhadas, para edificação pública padrão</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58,81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358,74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443,18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0,0135%</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9.1.7.2</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104597</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Revestimento cerâmico para piso com placas tipo porcelanato de dimensões 80X80 cm aplicada em ambientes de área entre 5 m² e 10 m²</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119,92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329,78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407,41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0,0124%</w:t>
            </w:r>
          </w:p>
        </w:tc>
      </w:tr>
      <w:tr>
        <w:trPr>
          <w:trHeight w:val="30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9.1.5.2</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102491</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acrilica premium fosca para piso cimentado, duas demaos</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20,78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272,21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336,28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0,0102%</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9.1.4.1</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098682</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Piso cimentado, traço 1:3 (cimento e areia), acabamento rústico, espessura 3,0 cm, preparo mecânico da argamassa. (concreto desempenado)</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49,16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181,89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224,70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0,0068%</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9.1.7.1</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087745</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Contrapiso em argamassa traço 1:4 (cim e areia), em betoneira 400 l, espessura 3 cm áreas secas e 3 cm áreas molhadas, para edificação pública padrão</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58,81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161,72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199,78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0,0061%</w:t>
            </w:r>
          </w:p>
        </w:tc>
      </w:tr>
      <w:tr>
        <w:trPr>
          <w:trHeight w:val="51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9.1.6.1</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098682</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Piso cimentado, traço 1:3 (cimento e areia), acabamento rústico, espessura 3,0 cm, preparo mecânico da argamassa. (concreto desempenado)</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49,16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122,90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151,83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0,0046%</w:t>
            </w:r>
          </w:p>
        </w:tc>
      </w:tr>
      <w:tr>
        <w:trPr>
          <w:trHeight w:val="30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9.1.4.2</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102491</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acrilica premium fosca para piso cimentado, duas demaos</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20,78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76,88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94,97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0,0029%</w:t>
            </w:r>
          </w:p>
        </w:tc>
      </w:tr>
      <w:tr>
        <w:trPr>
          <w:trHeight w:val="300" w:hRule="atLeast"/>
          <w:cantSplit w:val="true"/>
        </w:trPr>
        <w:tc>
          <w:tcPr>
            <w:tcW w:w="65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9.1.6.2</w:t>
            </w:r>
          </w:p>
        </w:tc>
        <w:tc>
          <w:tcPr>
            <w:tcW w:w="47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102491</w:t>
            </w:r>
          </w:p>
        </w:tc>
        <w:tc>
          <w:tcPr>
            <w:tcW w:w="70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223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acrilica premium fosca para piso cimentado, duas demaos</w:t>
            </w:r>
          </w:p>
        </w:tc>
        <w:tc>
          <w:tcPr>
            <w:tcW w:w="46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4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87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20,78 </w:t>
            </w:r>
          </w:p>
        </w:tc>
        <w:tc>
          <w:tcPr>
            <w:tcW w:w="85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51,95 </w:t>
            </w:r>
          </w:p>
        </w:tc>
        <w:tc>
          <w:tcPr>
            <w:tcW w:w="979"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64,17 </w:t>
            </w:r>
          </w:p>
        </w:tc>
        <w:tc>
          <w:tcPr>
            <w:tcW w:w="1075"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bl>
    <w:p>
      <w:pPr>
        <w:pStyle w:val="normal11"/>
        <w:tabs>
          <w:tab w:val="clear" w:pos="720"/>
          <w:tab w:val="left" w:pos="1004" w:leader="none"/>
        </w:tabs>
        <w:spacing w:lineRule="auto" w:line="360"/>
        <w:jc w:val="both"/>
        <w:rPr/>
      </w:pPr>
      <w:r>
        <w:rPr/>
      </w:r>
    </w:p>
    <w:tbl>
      <w:tblPr>
        <w:tblStyle w:val="2"/>
        <w:tblW w:w="9066" w:type="dxa"/>
        <w:jc w:val="left"/>
        <w:tblInd w:w="113" w:type="dxa"/>
        <w:tblLayout w:type="fixed"/>
        <w:tblCellMar>
          <w:top w:w="0" w:type="dxa"/>
          <w:left w:w="108" w:type="dxa"/>
          <w:bottom w:w="0" w:type="dxa"/>
          <w:right w:w="108" w:type="dxa"/>
        </w:tblCellMar>
        <w:tblLook w:val="0400"/>
      </w:tblPr>
      <w:tblGrid>
        <w:gridCol w:w="661"/>
        <w:gridCol w:w="764"/>
        <w:gridCol w:w="697"/>
        <w:gridCol w:w="1558"/>
        <w:gridCol w:w="396"/>
        <w:gridCol w:w="783"/>
        <w:gridCol w:w="1090"/>
        <w:gridCol w:w="898"/>
        <w:gridCol w:w="1132"/>
        <w:gridCol w:w="1087"/>
      </w:tblGrid>
      <w:tr>
        <w:trPr>
          <w:trHeight w:val="330" w:hRule="atLeast"/>
          <w:cantSplit w:val="true"/>
        </w:trPr>
        <w:tc>
          <w:tcPr>
            <w:tcW w:w="661"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3019"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39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2771" w:type="dxa"/>
            <w:gridSpan w:val="3"/>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EXIGÊNCIA MÍNIMA (CERTIDÃO DE ACERVO TÉCNICO)</w:t>
            </w:r>
          </w:p>
        </w:tc>
        <w:tc>
          <w:tcPr>
            <w:tcW w:w="1132"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VALOR TOTAL DO SERVIÇO NA PLANILHA</w:t>
            </w:r>
          </w:p>
        </w:tc>
        <w:tc>
          <w:tcPr>
            <w:tcW w:w="108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PERCENTUAL TOTAL DO SERVIÇO NA PLANILHA</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6</w:t>
            </w:r>
          </w:p>
        </w:tc>
        <w:tc>
          <w:tcPr>
            <w:tcW w:w="3019"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PINTURAS INTERNAS E EXTERNAS</w:t>
            </w:r>
          </w:p>
        </w:tc>
        <w:tc>
          <w:tcPr>
            <w:tcW w:w="396"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2771" w:type="dxa"/>
            <w:gridSpan w:val="3"/>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400</w:t>
            </w:r>
          </w:p>
        </w:tc>
        <w:tc>
          <w:tcPr>
            <w:tcW w:w="1132"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R$                                        193.841,95 </w:t>
            </w:r>
          </w:p>
        </w:tc>
        <w:tc>
          <w:tcPr>
            <w:tcW w:w="1087" w:type="dxa"/>
            <w:tcBorders>
              <w:top w:val="single" w:sz="4" w:space="0" w:color="000000"/>
              <w:left w:val="single" w:sz="4" w:space="0" w:color="000000"/>
              <w:bottom w:val="single" w:sz="4" w:space="0" w:color="000000"/>
              <w:right w:val="single" w:sz="4" w:space="0" w:color="000000"/>
            </w:tcBorders>
            <w:shd w:color="auto" w:fill="DBE5F1"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5,89%</w:t>
            </w:r>
          </w:p>
        </w:tc>
      </w:tr>
      <w:tr>
        <w:trPr>
          <w:trHeight w:val="495" w:hRule="atLeast"/>
          <w:cantSplit w:val="true"/>
        </w:trPr>
        <w:tc>
          <w:tcPr>
            <w:tcW w:w="661"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ITEM</w:t>
              <w:br/>
              <w:t>Nº</w:t>
            </w:r>
          </w:p>
        </w:tc>
        <w:tc>
          <w:tcPr>
            <w:tcW w:w="764"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ind w:left="-66"/>
              <w:jc w:val="both"/>
              <w:rPr>
                <w:b/>
                <w:sz w:val="16"/>
                <w:szCs w:val="16"/>
              </w:rPr>
            </w:pPr>
            <w:r>
              <w:rPr>
                <w:rFonts w:eastAsia="Calibri" w:cs="Calibri" w:ascii="Calibri" w:hAnsi="Calibri"/>
                <w:b/>
                <w:kern w:val="0"/>
                <w:sz w:val="16"/>
                <w:szCs w:val="16"/>
                <w:lang w:val="pt-BR" w:eastAsia="pt-BR" w:bidi="ar-SA"/>
              </w:rPr>
              <w:t>CÓDIGO</w:t>
            </w:r>
          </w:p>
        </w:tc>
        <w:tc>
          <w:tcPr>
            <w:tcW w:w="69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ind w:left="-66"/>
              <w:jc w:val="both"/>
              <w:rPr>
                <w:sz w:val="16"/>
                <w:szCs w:val="16"/>
              </w:rPr>
            </w:pPr>
            <w:r>
              <w:rPr>
                <w:rFonts w:eastAsia="Calibri" w:cs="Calibri" w:ascii="Calibri" w:hAnsi="Calibri"/>
                <w:b/>
                <w:kern w:val="0"/>
                <w:sz w:val="16"/>
                <w:szCs w:val="16"/>
                <w:lang w:val="pt-BR" w:eastAsia="pt-BR" w:bidi="ar-SA"/>
              </w:rPr>
              <w:t>TABELA</w:t>
              <w:br/>
              <w:t>BASE</w:t>
            </w:r>
          </w:p>
        </w:tc>
        <w:tc>
          <w:tcPr>
            <w:tcW w:w="1558"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DESCRIÇÃO</w:t>
            </w:r>
          </w:p>
        </w:tc>
        <w:tc>
          <w:tcPr>
            <w:tcW w:w="396"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UN.</w:t>
            </w:r>
          </w:p>
        </w:tc>
        <w:tc>
          <w:tcPr>
            <w:tcW w:w="783"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QUANT.</w:t>
            </w:r>
          </w:p>
        </w:tc>
        <w:tc>
          <w:tcPr>
            <w:tcW w:w="1090"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w:t>
              <w:br/>
              <w:t>UNITÁRIO</w:t>
            </w:r>
          </w:p>
        </w:tc>
        <w:tc>
          <w:tcPr>
            <w:tcW w:w="898"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b/>
                <w:sz w:val="16"/>
                <w:szCs w:val="16"/>
              </w:rPr>
            </w:pPr>
            <w:r>
              <w:rPr>
                <w:rFonts w:eastAsia="Calibri" w:cs="Calibri" w:ascii="Calibri" w:hAnsi="Calibri"/>
                <w:b/>
                <w:kern w:val="0"/>
                <w:sz w:val="16"/>
                <w:szCs w:val="16"/>
                <w:lang w:val="pt-BR" w:eastAsia="pt-BR" w:bidi="ar-SA"/>
              </w:rPr>
              <w:t>PREÇO TOTAL</w:t>
            </w:r>
          </w:p>
        </w:tc>
        <w:tc>
          <w:tcPr>
            <w:tcW w:w="1132"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PREÇO TOTAL</w:t>
              <w:br/>
              <w:t>C/B.D.I.</w:t>
            </w:r>
          </w:p>
        </w:tc>
        <w:tc>
          <w:tcPr>
            <w:tcW w:w="1087" w:type="dxa"/>
            <w:tcBorders>
              <w:top w:val="single" w:sz="4" w:space="0" w:color="000000"/>
              <w:left w:val="single" w:sz="4" w:space="0" w:color="000000"/>
              <w:bottom w:val="single" w:sz="4" w:space="0" w:color="000000"/>
              <w:right w:val="single" w:sz="4" w:space="0" w:color="000000"/>
            </w:tcBorders>
            <w:shd w:color="auto" w:fill="BFBFBF" w:val="clear"/>
          </w:tcPr>
          <w:p>
            <w:pPr>
              <w:pStyle w:val="normal11"/>
              <w:widowControl/>
              <w:tabs>
                <w:tab w:val="clear" w:pos="720"/>
                <w:tab w:val="left" w:pos="1004" w:leader="none"/>
              </w:tabs>
              <w:spacing w:before="0" w:after="0"/>
              <w:jc w:val="both"/>
              <w:rPr>
                <w:sz w:val="16"/>
                <w:szCs w:val="16"/>
              </w:rPr>
            </w:pPr>
            <w:r>
              <w:rPr>
                <w:rFonts w:eastAsia="Calibri" w:cs="Calibri" w:ascii="Calibri" w:hAnsi="Calibri"/>
                <w:b/>
                <w:kern w:val="0"/>
                <w:sz w:val="16"/>
                <w:szCs w:val="16"/>
                <w:lang w:val="pt-BR" w:eastAsia="pt-BR" w:bidi="ar-SA"/>
              </w:rPr>
              <w:t>%</w:t>
              <w:br/>
              <w:t>TOTAL</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8.1.1.3</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088497</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e lixamento de massa látex em paredes, duas demãos</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1.712,90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20,32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34.806,12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42.999,48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1,3059%</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8.1.1.4</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1.712,90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21.873,73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27.022,80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0,8207%</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8.2.1.2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088496</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e lixamento de massa látex em teto, duas demãos</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36,14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21.716,52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26.828,58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0,8148%</w:t>
            </w:r>
          </w:p>
        </w:tc>
      </w:tr>
      <w:tr>
        <w:trPr>
          <w:trHeight w:val="87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8.1.1.5</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003761</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de acabamento com aplicação de fundo preparador epoxi, 01 demão de massa epoxi e 02 demãos de tinta esmalte epoxi branco, e = 35 micra p/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142,30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121,63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17.307,94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21.382,22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0,6494%</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8.2.1.3</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088488</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9.265,87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11.447,05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0,3476%</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8.1.1.1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007725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Remoção de pintura latex</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1.203,50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6,99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8.412,46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10.392,75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0,3156%</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8.1.1.2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1.712,90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6.851,60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8.464,46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0,2571%</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8.3.1.4</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419,70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5.359,56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6.621,20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0,2011%</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8.3.1.1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007725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Remoção de pintura latex</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565,90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6,99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3.955,64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4.886,79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0,1484%</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8.2.2.2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088496</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e lixamento de massa látex em teto, duas demãos</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94,80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36,14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3.426,07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4.232,56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0,1285%</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8.2.1.1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088484</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teto,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600,90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3.046,56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3.763,72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0,1143%</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8.3.1.3</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095305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Microtextura acrílica, aplicação manual em parede, uma demão. </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170,90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13,34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2.279,80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2.816,46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0,0855%</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8.1.2.3</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088497</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e lixamento de massa látex em paredes, duas demãos</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20,32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2.241,29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2.768,88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0,0841%</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8.3.1.2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419,70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1.678,80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2.073,98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0,0630%</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8.2.2.3</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088488</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96,50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1.488,03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1.838,31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0,0558%</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8.1.5.2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20,32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1.465,07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1.809,94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0,0550%</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8.1.2.4</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1.408,53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1.740,09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0,0528%</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8.3.2.3</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095305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Microtextura acrílica, aplicação manual em parede, uma demão. </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92,00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13,34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1.227,28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1.516,18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0,0460%</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8.3.2.4</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92,00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1.174,84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1.451,39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0,0441%</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8.3.5.2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1.010,10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1.247,87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0,0379%</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8.3.2.1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007725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Remoção de pintura latex</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136,80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6,99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956,23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1.181,32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0,0359%</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8.1.2.1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007725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Orse</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Remoção de pintura latex</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6,99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770,99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952,48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0,0289%</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8.1.3.2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20,32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599,44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740,54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0,0225%</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8.2.2.1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088484</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teto,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96,50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489,25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604,41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0,0184%</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8.1.2.2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110,30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441,20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545,05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0,0166%</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8.3.2.2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92,00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368,00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454,62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0,0138%</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8.3.3.2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363,94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449,61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0,0137%</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8.1.4.2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20,32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331,21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409,17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0,0124%</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8.3.5.1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79,10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316,40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390,88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0,0119%</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8.1.6.2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20,32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310,89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384,07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0,0117%</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8.1.5.1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72,10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288,40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356,28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0,0108%</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8.3.6.2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274,55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339,17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0,0103%</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8.2.5.2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088488</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202,00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249,55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0,0076%</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8.3.7.2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162,17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200,34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0,0061%</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8.3.4.2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088489</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126,42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156,17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0,0047%</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8.1.3.1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29,50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118,00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145,77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0,0044%</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8.3.3.1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28,50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114,00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140,83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0,0043%</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8.2.3.2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088488</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94,06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116,20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0,0035%</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8.3.6.1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21,50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86,00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106,24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0,0032%</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8.2.5.1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088484</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teto,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66,41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82,04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0,0025%</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8.1.4.1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16,30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65,20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80,54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0,0024%</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8.1.6.1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15,30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61,20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75,60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0,0023%</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8.2.4.2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088488</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57,05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70,47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0,0021%</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8.3.7.1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12,70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50,80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62,75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0,0019%</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8.2.7.2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088488</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42,40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52,38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0,0016%</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8.3.4.1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088485</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paredes,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9,90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4,00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39,60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48,92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0,0015%</w:t>
            </w:r>
          </w:p>
        </w:tc>
      </w:tr>
      <w:tr>
        <w:trPr>
          <w:trHeight w:val="30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8.2.6.2</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088488</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Pintura tinta acrílica 2 demãos, aplicação manual</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15,42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38,55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47,62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0,0014%</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8.2.3.1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088484</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teto,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6,10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30,92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38,19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0,0012%</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8.2.4.1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088484</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teto,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3,70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18,75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23,16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0,0007%</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8.2.7.1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088484</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teto,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2,75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13,94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17,22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r>
        <w:trPr>
          <w:trHeight w:val="510" w:hRule="atLeast"/>
          <w:cantSplit w:val="true"/>
        </w:trPr>
        <w:tc>
          <w:tcPr>
            <w:tcW w:w="661"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8.2.6.1</w:t>
            </w:r>
          </w:p>
        </w:tc>
        <w:tc>
          <w:tcPr>
            <w:tcW w:w="764"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088484</w:t>
            </w:r>
          </w:p>
        </w:tc>
        <w:tc>
          <w:tcPr>
            <w:tcW w:w="69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Sinapi</w:t>
            </w:r>
          </w:p>
        </w:tc>
        <w:tc>
          <w:tcPr>
            <w:tcW w:w="155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Aplicação de fundo selador látex acrílico em teto, uma demão</w:t>
            </w:r>
          </w:p>
        </w:tc>
        <w:tc>
          <w:tcPr>
            <w:tcW w:w="396"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m²</w:t>
            </w:r>
          </w:p>
        </w:tc>
        <w:tc>
          <w:tcPr>
            <w:tcW w:w="783"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2,50 </w:t>
            </w:r>
          </w:p>
        </w:tc>
        <w:tc>
          <w:tcPr>
            <w:tcW w:w="1090"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5,07 </w:t>
            </w:r>
          </w:p>
        </w:tc>
        <w:tc>
          <w:tcPr>
            <w:tcW w:w="898"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12,67 </w:t>
            </w:r>
          </w:p>
        </w:tc>
        <w:tc>
          <w:tcPr>
            <w:tcW w:w="1132"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 xml:space="preserve">                                                        </w:t>
            </w:r>
            <w:r>
              <w:rPr>
                <w:rFonts w:eastAsia="Calibri" w:cs="Calibri" w:ascii="Calibri" w:hAnsi="Calibri"/>
                <w:kern w:val="0"/>
                <w:sz w:val="16"/>
                <w:szCs w:val="16"/>
                <w:lang w:val="pt-BR" w:eastAsia="pt-BR" w:bidi="ar-SA"/>
              </w:rPr>
              <w:t xml:space="preserve">15,65 </w:t>
            </w:r>
          </w:p>
        </w:tc>
        <w:tc>
          <w:tcPr>
            <w:tcW w:w="1087" w:type="dxa"/>
            <w:tcBorders>
              <w:top w:val="single" w:sz="4" w:space="0" w:color="000000"/>
              <w:left w:val="single" w:sz="4" w:space="0" w:color="000000"/>
              <w:bottom w:val="single" w:sz="4" w:space="0" w:color="000000"/>
              <w:right w:val="single" w:sz="4" w:space="0" w:color="000000"/>
            </w:tcBorders>
          </w:tcPr>
          <w:p>
            <w:pPr>
              <w:pStyle w:val="normal11"/>
              <w:widowControl/>
              <w:tabs>
                <w:tab w:val="clear" w:pos="720"/>
                <w:tab w:val="left" w:pos="1004" w:leader="none"/>
              </w:tabs>
              <w:spacing w:before="0" w:after="0"/>
              <w:jc w:val="both"/>
              <w:rPr>
                <w:sz w:val="16"/>
                <w:szCs w:val="16"/>
              </w:rPr>
            </w:pPr>
            <w:r>
              <w:rPr>
                <w:rFonts w:eastAsia="Calibri" w:cs="Calibri" w:ascii="Calibri" w:hAnsi="Calibri"/>
                <w:kern w:val="0"/>
                <w:sz w:val="16"/>
                <w:szCs w:val="16"/>
                <w:lang w:val="pt-BR" w:eastAsia="pt-BR" w:bidi="ar-SA"/>
              </w:rPr>
              <w:t>0,0005%</w:t>
            </w:r>
          </w:p>
        </w:tc>
      </w:tr>
    </w:tbl>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jc w:val="both"/>
        <w:rPr/>
      </w:pPr>
      <w:r>
        <w:rPr/>
      </w:r>
    </w:p>
    <w:p>
      <w:pPr>
        <w:pStyle w:val="normal11"/>
        <w:numPr>
          <w:ilvl w:val="0"/>
          <w:numId w:val="2"/>
        </w:numPr>
        <w:tabs>
          <w:tab w:val="clear" w:pos="720"/>
          <w:tab w:val="left" w:pos="1004" w:leader="none"/>
        </w:tabs>
        <w:spacing w:lineRule="auto" w:line="360"/>
        <w:jc w:val="both"/>
        <w:rPr/>
      </w:pPr>
      <w:r>
        <w:rPr/>
        <w:t xml:space="preserve">Atestado de capacidade técnica que comprove que o Engenheiro Responsável técnico pela obra tenha executado obras/serviços de características técnicas similares às do objeto da presente licitação. </w:t>
      </w:r>
    </w:p>
    <w:p>
      <w:pPr>
        <w:pStyle w:val="normal11"/>
        <w:tabs>
          <w:tab w:val="clear" w:pos="720"/>
          <w:tab w:val="left" w:pos="1004" w:leader="none"/>
        </w:tabs>
        <w:spacing w:lineRule="auto" w:line="360"/>
        <w:ind w:left="720"/>
        <w:jc w:val="both"/>
        <w:rPr/>
      </w:pPr>
      <w:r>
        <w:rPr/>
      </w:r>
    </w:p>
    <w:p>
      <w:pPr>
        <w:pStyle w:val="normal11"/>
        <w:numPr>
          <w:ilvl w:val="0"/>
          <w:numId w:val="27"/>
        </w:numPr>
        <w:pBdr/>
        <w:tabs>
          <w:tab w:val="clear" w:pos="720"/>
          <w:tab w:val="left" w:pos="1004" w:leader="none"/>
          <w:tab w:val="left" w:pos="1005" w:leader="none"/>
        </w:tabs>
        <w:spacing w:lineRule="auto" w:line="360"/>
        <w:jc w:val="both"/>
        <w:rPr>
          <w:b/>
        </w:rPr>
      </w:pPr>
      <w:bookmarkStart w:id="1" w:name="_heading=h.q369mvaplgt8"/>
      <w:bookmarkEnd w:id="1"/>
      <w:r>
        <w:rPr>
          <w:color w:val="000000"/>
        </w:rPr>
        <w:t>ESTIMATIVA DE CUSTO</w:t>
      </w:r>
    </w:p>
    <w:p>
      <w:pPr>
        <w:pStyle w:val="normal11"/>
        <w:tabs>
          <w:tab w:val="clear" w:pos="720"/>
          <w:tab w:val="left" w:pos="1004" w:leader="none"/>
        </w:tabs>
        <w:spacing w:lineRule="auto" w:line="360"/>
        <w:jc w:val="both"/>
        <w:rPr/>
      </w:pPr>
      <w:r>
        <w:rPr/>
        <w:t>8.1 A obra foi orçada no valor de R$ 3.292.697,81 (Três milhões, duzentos e noventa e dois mil, seiscentos e noventa e sete reais e oitenta e um centavos), conforme planilha orçamentária e cronograma físico- financeiro anexos, sendo utilizados a Composição de Preços Unitários (CPU) e a tabela do Sistema Nacional de Pesquisa de Custos e Índices da Construção Civil (SINAPI).</w:t>
      </w:r>
    </w:p>
    <w:p>
      <w:pPr>
        <w:pStyle w:val="normal11"/>
        <w:tabs>
          <w:tab w:val="clear" w:pos="720"/>
          <w:tab w:val="left" w:pos="1004" w:leader="none"/>
        </w:tabs>
        <w:spacing w:lineRule="auto" w:line="360"/>
        <w:jc w:val="both"/>
        <w:rPr/>
      </w:pPr>
      <w:r>
        <w:rPr/>
      </w:r>
    </w:p>
    <w:p>
      <w:pPr>
        <w:pStyle w:val="normal11"/>
        <w:numPr>
          <w:ilvl w:val="0"/>
          <w:numId w:val="27"/>
        </w:numPr>
        <w:pBdr/>
        <w:tabs>
          <w:tab w:val="clear" w:pos="720"/>
          <w:tab w:val="left" w:pos="1004" w:leader="none"/>
          <w:tab w:val="left" w:pos="1005" w:leader="none"/>
        </w:tabs>
        <w:spacing w:lineRule="auto" w:line="360"/>
        <w:jc w:val="both"/>
        <w:rPr>
          <w:b/>
        </w:rPr>
      </w:pPr>
      <w:bookmarkStart w:id="2" w:name="_heading=h.uxtgsq60s655"/>
      <w:bookmarkEnd w:id="2"/>
      <w:r>
        <w:rPr>
          <w:color w:val="000000"/>
        </w:rPr>
        <w:t>DOTAÇÃO ORÇAMENTÁRIA</w:t>
      </w:r>
    </w:p>
    <w:p>
      <w:pPr>
        <w:pStyle w:val="normal11"/>
        <w:tabs>
          <w:tab w:val="clear" w:pos="720"/>
          <w:tab w:val="left" w:pos="1004" w:leader="none"/>
        </w:tabs>
        <w:spacing w:lineRule="auto" w:line="360" w:before="46" w:after="0"/>
        <w:jc w:val="both"/>
        <w:rPr>
          <w:b/>
          <w:sz w:val="20"/>
          <w:szCs w:val="20"/>
        </w:rPr>
      </w:pPr>
      <w:r>
        <w:rPr>
          <w:b/>
          <w:sz w:val="20"/>
          <w:szCs w:val="20"/>
        </w:rPr>
      </w:r>
    </w:p>
    <w:tbl>
      <w:tblPr>
        <w:tblStyle w:val="1"/>
        <w:tblW w:w="8928" w:type="dxa"/>
        <w:jc w:val="left"/>
        <w:tblInd w:w="89" w:type="dxa"/>
        <w:tblLayout w:type="fixed"/>
        <w:tblCellMar>
          <w:top w:w="0" w:type="dxa"/>
          <w:left w:w="5" w:type="dxa"/>
          <w:bottom w:w="0" w:type="dxa"/>
          <w:right w:w="5" w:type="dxa"/>
        </w:tblCellMar>
        <w:tblLook w:val="0000"/>
      </w:tblPr>
      <w:tblGrid>
        <w:gridCol w:w="1333"/>
        <w:gridCol w:w="1782"/>
        <w:gridCol w:w="2411"/>
        <w:gridCol w:w="911"/>
        <w:gridCol w:w="2491"/>
      </w:tblGrid>
      <w:tr>
        <w:trPr>
          <w:tblHeader w:val="true"/>
          <w:trHeight w:val="690" w:hRule="atLeast"/>
          <w:cantSplit w:val="true"/>
        </w:trPr>
        <w:tc>
          <w:tcPr>
            <w:tcW w:w="1333" w:type="dxa"/>
            <w:tcBorders>
              <w:top w:val="single" w:sz="4" w:space="0" w:color="000000"/>
              <w:left w:val="single" w:sz="4" w:space="0" w:color="000000"/>
              <w:bottom w:val="single" w:sz="4" w:space="0" w:color="000000"/>
              <w:right w:val="single" w:sz="4" w:space="0" w:color="000000"/>
            </w:tcBorders>
            <w:shd w:color="auto" w:fill="F1F1F1" w:val="clear"/>
          </w:tcPr>
          <w:p>
            <w:pPr>
              <w:pStyle w:val="normal11"/>
              <w:widowControl w:val="false"/>
              <w:tabs>
                <w:tab w:val="clear" w:pos="720"/>
                <w:tab w:val="left" w:pos="1004" w:leader="none"/>
              </w:tabs>
              <w:spacing w:lineRule="auto" w:line="360" w:before="0" w:after="0"/>
              <w:ind w:firstLine="122" w:left="124" w:right="111"/>
              <w:jc w:val="both"/>
              <w:rPr>
                <w:sz w:val="20"/>
                <w:szCs w:val="20"/>
              </w:rPr>
            </w:pPr>
            <w:r>
              <w:rPr>
                <w:rFonts w:eastAsia="Times New Roman" w:cs="Times New Roman"/>
                <w:kern w:val="0"/>
                <w:sz w:val="20"/>
                <w:szCs w:val="20"/>
                <w:lang w:val="pt-BR" w:eastAsia="pt-BR" w:bidi="ar-SA"/>
              </w:rPr>
              <w:t>CÓDIGO REDUZIDO</w:t>
            </w:r>
          </w:p>
        </w:tc>
        <w:tc>
          <w:tcPr>
            <w:tcW w:w="1782" w:type="dxa"/>
            <w:tcBorders>
              <w:top w:val="single" w:sz="4" w:space="0" w:color="000000"/>
              <w:left w:val="single" w:sz="4" w:space="0" w:color="000000"/>
              <w:bottom w:val="single" w:sz="4" w:space="0" w:color="000000"/>
              <w:right w:val="single" w:sz="4" w:space="0" w:color="000000"/>
            </w:tcBorders>
            <w:shd w:color="auto" w:fill="F1F1F1" w:val="clear"/>
          </w:tcPr>
          <w:p>
            <w:pPr>
              <w:pStyle w:val="normal11"/>
              <w:widowControl w:val="false"/>
              <w:tabs>
                <w:tab w:val="clear" w:pos="720"/>
                <w:tab w:val="left" w:pos="1004" w:leader="none"/>
              </w:tabs>
              <w:spacing w:lineRule="auto" w:line="360" w:before="0" w:after="0"/>
              <w:ind w:firstLine="93" w:left="369" w:right="367"/>
              <w:jc w:val="both"/>
              <w:rPr>
                <w:sz w:val="20"/>
                <w:szCs w:val="20"/>
              </w:rPr>
            </w:pPr>
            <w:r>
              <w:rPr>
                <w:rFonts w:eastAsia="Times New Roman" w:cs="Times New Roman"/>
                <w:kern w:val="0"/>
                <w:sz w:val="20"/>
                <w:szCs w:val="20"/>
                <w:lang w:val="pt-BR" w:eastAsia="pt-BR" w:bidi="ar-SA"/>
              </w:rPr>
              <w:t>PROJETO/ ATIVIDADE</w:t>
            </w:r>
          </w:p>
        </w:tc>
        <w:tc>
          <w:tcPr>
            <w:tcW w:w="2411" w:type="dxa"/>
            <w:tcBorders>
              <w:top w:val="single" w:sz="4" w:space="0" w:color="000000"/>
              <w:left w:val="single" w:sz="4" w:space="0" w:color="000000"/>
              <w:bottom w:val="single" w:sz="4" w:space="0" w:color="000000"/>
              <w:right w:val="single" w:sz="4" w:space="0" w:color="000000"/>
            </w:tcBorders>
            <w:shd w:color="auto" w:fill="F1F1F1" w:val="clear"/>
          </w:tcPr>
          <w:p>
            <w:pPr>
              <w:pStyle w:val="normal11"/>
              <w:widowControl w:val="false"/>
              <w:tabs>
                <w:tab w:val="clear" w:pos="720"/>
                <w:tab w:val="left" w:pos="1004" w:leader="none"/>
              </w:tabs>
              <w:spacing w:lineRule="auto" w:line="360" w:before="0" w:after="0"/>
              <w:ind w:hanging="17" w:left="661" w:right="632"/>
              <w:jc w:val="both"/>
              <w:rPr>
                <w:sz w:val="20"/>
                <w:szCs w:val="20"/>
              </w:rPr>
            </w:pPr>
            <w:r>
              <w:rPr>
                <w:rFonts w:eastAsia="Times New Roman" w:cs="Times New Roman"/>
                <w:kern w:val="0"/>
                <w:sz w:val="20"/>
                <w:szCs w:val="20"/>
                <w:lang w:val="pt-BR" w:eastAsia="pt-BR" w:bidi="ar-SA"/>
              </w:rPr>
              <w:t>CÓDIGO DO ELEMENTO</w:t>
            </w:r>
          </w:p>
          <w:p>
            <w:pPr>
              <w:pStyle w:val="normal11"/>
              <w:widowControl w:val="false"/>
              <w:tabs>
                <w:tab w:val="clear" w:pos="720"/>
                <w:tab w:val="left" w:pos="1004" w:leader="none"/>
              </w:tabs>
              <w:spacing w:lineRule="auto" w:line="218" w:before="0" w:after="0"/>
              <w:ind w:left="609"/>
              <w:jc w:val="both"/>
              <w:rPr>
                <w:sz w:val="20"/>
                <w:szCs w:val="20"/>
              </w:rPr>
            </w:pPr>
            <w:r>
              <w:rPr>
                <w:rFonts w:eastAsia="Times New Roman" w:cs="Times New Roman"/>
                <w:kern w:val="0"/>
                <w:sz w:val="20"/>
                <w:szCs w:val="20"/>
                <w:lang w:val="pt-BR" w:eastAsia="pt-BR" w:bidi="ar-SA"/>
              </w:rPr>
              <w:t>DE DESPESA</w:t>
            </w:r>
          </w:p>
        </w:tc>
        <w:tc>
          <w:tcPr>
            <w:tcW w:w="911" w:type="dxa"/>
            <w:tcBorders>
              <w:top w:val="single" w:sz="4" w:space="0" w:color="000000"/>
              <w:left w:val="single" w:sz="4" w:space="0" w:color="000000"/>
              <w:bottom w:val="single" w:sz="4" w:space="0" w:color="000000"/>
              <w:right w:val="single" w:sz="4" w:space="0" w:color="000000"/>
            </w:tcBorders>
            <w:shd w:color="auto" w:fill="F1F1F1" w:val="clear"/>
          </w:tcPr>
          <w:p>
            <w:pPr>
              <w:pStyle w:val="normal11"/>
              <w:widowControl w:val="false"/>
              <w:tabs>
                <w:tab w:val="clear" w:pos="720"/>
                <w:tab w:val="left" w:pos="1004" w:leader="none"/>
              </w:tabs>
              <w:spacing w:lineRule="auto" w:line="223" w:before="0" w:after="0"/>
              <w:ind w:left="1"/>
              <w:jc w:val="both"/>
              <w:rPr>
                <w:sz w:val="20"/>
                <w:szCs w:val="20"/>
              </w:rPr>
            </w:pPr>
            <w:r>
              <w:rPr>
                <w:rFonts w:eastAsia="Times New Roman" w:cs="Times New Roman"/>
                <w:kern w:val="0"/>
                <w:sz w:val="20"/>
                <w:szCs w:val="20"/>
                <w:lang w:val="pt-BR" w:eastAsia="pt-BR" w:bidi="ar-SA"/>
              </w:rPr>
              <w:t>FR</w:t>
            </w:r>
          </w:p>
        </w:tc>
        <w:tc>
          <w:tcPr>
            <w:tcW w:w="2491" w:type="dxa"/>
            <w:tcBorders>
              <w:top w:val="single" w:sz="4" w:space="0" w:color="000000"/>
              <w:left w:val="single" w:sz="4" w:space="0" w:color="000000"/>
              <w:bottom w:val="single" w:sz="4" w:space="0" w:color="000000"/>
              <w:right w:val="single" w:sz="4" w:space="0" w:color="000000"/>
            </w:tcBorders>
            <w:shd w:color="auto" w:fill="F1F1F1" w:val="clear"/>
          </w:tcPr>
          <w:p>
            <w:pPr>
              <w:pStyle w:val="normal11"/>
              <w:widowControl w:val="false"/>
              <w:tabs>
                <w:tab w:val="clear" w:pos="720"/>
                <w:tab w:val="left" w:pos="1004" w:leader="none"/>
              </w:tabs>
              <w:spacing w:lineRule="auto" w:line="360" w:before="0" w:after="0"/>
              <w:ind w:hanging="469" w:left="885" w:right="402"/>
              <w:jc w:val="both"/>
              <w:rPr>
                <w:sz w:val="20"/>
                <w:szCs w:val="20"/>
              </w:rPr>
            </w:pPr>
            <w:r>
              <w:rPr>
                <w:rFonts w:eastAsia="Times New Roman" w:cs="Times New Roman"/>
                <w:kern w:val="0"/>
                <w:sz w:val="20"/>
                <w:szCs w:val="20"/>
                <w:lang w:val="pt-BR" w:eastAsia="pt-BR" w:bidi="ar-SA"/>
              </w:rPr>
              <w:t>VALOR DOTAÇÃO EXISTENTE</w:t>
            </w:r>
          </w:p>
        </w:tc>
      </w:tr>
      <w:tr>
        <w:trPr>
          <w:tblHeader w:val="true"/>
          <w:trHeight w:val="323" w:hRule="atLeast"/>
          <w:cantSplit w:val="true"/>
        </w:trPr>
        <w:tc>
          <w:tcPr>
            <w:tcW w:w="1333"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360" w:before="0" w:after="0"/>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557</w:t>
            </w:r>
          </w:p>
          <w:p>
            <w:pPr>
              <w:pStyle w:val="normal11"/>
              <w:widowControl w:val="false"/>
              <w:tabs>
                <w:tab w:val="clear" w:pos="720"/>
                <w:tab w:val="left" w:pos="1004" w:leader="none"/>
              </w:tabs>
              <w:spacing w:lineRule="auto" w:line="360" w:before="0" w:after="0"/>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556</w:t>
            </w:r>
          </w:p>
          <w:p>
            <w:pPr>
              <w:pStyle w:val="normal11"/>
              <w:widowControl w:val="false"/>
              <w:tabs>
                <w:tab w:val="clear" w:pos="720"/>
                <w:tab w:val="left" w:pos="1004" w:leader="none"/>
              </w:tabs>
              <w:spacing w:lineRule="auto" w:line="360" w:before="0" w:after="0"/>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2920</w:t>
            </w:r>
          </w:p>
        </w:tc>
        <w:tc>
          <w:tcPr>
            <w:tcW w:w="1782"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3" w:before="0" w:after="0"/>
              <w:ind w:left="2"/>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4.177</w:t>
            </w:r>
          </w:p>
        </w:tc>
        <w:tc>
          <w:tcPr>
            <w:tcW w:w="2411"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3" w:before="0" w:after="0"/>
              <w:ind w:left="1"/>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3.3.90.39</w:t>
            </w:r>
          </w:p>
        </w:tc>
        <w:tc>
          <w:tcPr>
            <w:tcW w:w="911"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3" w:before="0" w:after="0"/>
              <w:ind w:left="105"/>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6002</w:t>
            </w:r>
          </w:p>
          <w:p>
            <w:pPr>
              <w:pStyle w:val="normal11"/>
              <w:widowControl w:val="false"/>
              <w:tabs>
                <w:tab w:val="clear" w:pos="720"/>
                <w:tab w:val="left" w:pos="1004" w:leader="none"/>
              </w:tabs>
              <w:spacing w:lineRule="auto" w:line="223" w:before="0" w:after="0"/>
              <w:ind w:left="105"/>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r>
          </w:p>
          <w:p>
            <w:pPr>
              <w:pStyle w:val="normal11"/>
              <w:widowControl w:val="false"/>
              <w:tabs>
                <w:tab w:val="clear" w:pos="720"/>
                <w:tab w:val="left" w:pos="1004" w:leader="none"/>
              </w:tabs>
              <w:spacing w:lineRule="auto" w:line="223" w:before="0" w:after="0"/>
              <w:ind w:left="105"/>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6012</w:t>
            </w:r>
          </w:p>
          <w:p>
            <w:pPr>
              <w:pStyle w:val="normal11"/>
              <w:widowControl w:val="false"/>
              <w:tabs>
                <w:tab w:val="clear" w:pos="720"/>
                <w:tab w:val="left" w:pos="1004" w:leader="none"/>
              </w:tabs>
              <w:spacing w:lineRule="auto" w:line="223" w:before="0" w:after="0"/>
              <w:ind w:left="105"/>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r>
          </w:p>
          <w:p>
            <w:pPr>
              <w:pStyle w:val="normal11"/>
              <w:widowControl w:val="false"/>
              <w:tabs>
                <w:tab w:val="clear" w:pos="720"/>
                <w:tab w:val="left" w:pos="1004" w:leader="none"/>
              </w:tabs>
              <w:spacing w:lineRule="auto" w:line="223" w:before="0" w:after="0"/>
              <w:ind w:left="105"/>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7019</w:t>
            </w:r>
          </w:p>
        </w:tc>
        <w:tc>
          <w:tcPr>
            <w:tcW w:w="2491"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3" w:before="0" w:after="0"/>
              <w:ind w:left="115" w:right="2"/>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3.292.697,81</w:t>
            </w:r>
          </w:p>
        </w:tc>
      </w:tr>
      <w:tr>
        <w:trPr>
          <w:tblHeader w:val="true"/>
          <w:trHeight w:val="323" w:hRule="atLeast"/>
          <w:cantSplit w:val="true"/>
        </w:trPr>
        <w:tc>
          <w:tcPr>
            <w:tcW w:w="1333"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8" w:before="0" w:after="0"/>
              <w:ind w:left="107"/>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 xml:space="preserve">  </w:t>
            </w:r>
            <w:r>
              <w:rPr>
                <w:rFonts w:eastAsia="Times New Roman" w:cs="Times New Roman"/>
                <w:kern w:val="0"/>
                <w:sz w:val="22"/>
                <w:szCs w:val="22"/>
                <w:lang w:val="pt-BR" w:eastAsia="pt-BR" w:bidi="ar-SA"/>
              </w:rPr>
              <w:t>TOTAL</w:t>
            </w:r>
          </w:p>
        </w:tc>
        <w:tc>
          <w:tcPr>
            <w:tcW w:w="1782"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8" w:before="0" w:after="0"/>
              <w:ind w:left="2" w:right="2"/>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r>
          </w:p>
        </w:tc>
        <w:tc>
          <w:tcPr>
            <w:tcW w:w="2411"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8" w:before="0" w:after="0"/>
              <w:ind w:left="1" w:right="1"/>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r>
          </w:p>
        </w:tc>
        <w:tc>
          <w:tcPr>
            <w:tcW w:w="911"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228" w:before="0" w:after="0"/>
              <w:ind w:left="105"/>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r>
          </w:p>
        </w:tc>
        <w:tc>
          <w:tcPr>
            <w:tcW w:w="2491" w:type="dxa"/>
            <w:tcBorders>
              <w:top w:val="single" w:sz="4" w:space="0" w:color="000000"/>
              <w:left w:val="single" w:sz="4" w:space="0" w:color="000000"/>
              <w:bottom w:val="single" w:sz="4" w:space="0" w:color="000000"/>
              <w:right w:val="single" w:sz="4" w:space="0" w:color="000000"/>
            </w:tcBorders>
          </w:tcPr>
          <w:p>
            <w:pPr>
              <w:pStyle w:val="normal11"/>
              <w:widowControl w:val="false"/>
              <w:tabs>
                <w:tab w:val="clear" w:pos="720"/>
                <w:tab w:val="left" w:pos="1004" w:leader="none"/>
              </w:tabs>
              <w:spacing w:lineRule="auto" w:line="360" w:before="0" w:after="0"/>
              <w:jc w:val="both"/>
              <w:rPr>
                <w:rFonts w:ascii="Times New Roman" w:hAnsi="Times New Roman" w:eastAsia="Times New Roman" w:cs="Times New Roman"/>
                <w:kern w:val="0"/>
                <w:sz w:val="22"/>
                <w:szCs w:val="22"/>
                <w:lang w:val="pt-BR" w:eastAsia="pt-BR" w:bidi="ar-SA"/>
              </w:rPr>
            </w:pPr>
            <w:r>
              <w:rPr>
                <w:rFonts w:eastAsia="Times New Roman" w:cs="Times New Roman"/>
                <w:kern w:val="0"/>
                <w:sz w:val="22"/>
                <w:szCs w:val="22"/>
                <w:lang w:val="pt-BR" w:eastAsia="pt-BR" w:bidi="ar-SA"/>
              </w:rPr>
              <w:t>3.292.697,81</w:t>
            </w:r>
          </w:p>
        </w:tc>
      </w:tr>
    </w:tbl>
    <w:p>
      <w:pPr>
        <w:pStyle w:val="normal11"/>
        <w:tabs>
          <w:tab w:val="clear" w:pos="720"/>
          <w:tab w:val="left" w:pos="1004" w:leader="none"/>
        </w:tabs>
        <w:spacing w:lineRule="auto" w:line="360"/>
        <w:jc w:val="both"/>
        <w:rPr>
          <w:b/>
        </w:rPr>
      </w:pPr>
      <w:r>
        <w:rPr>
          <w:b/>
        </w:rPr>
        <w:t xml:space="preserve"> </w:t>
      </w:r>
    </w:p>
    <w:p>
      <w:pPr>
        <w:pStyle w:val="normal11"/>
        <w:numPr>
          <w:ilvl w:val="0"/>
          <w:numId w:val="27"/>
        </w:numPr>
        <w:tabs>
          <w:tab w:val="clear" w:pos="720"/>
          <w:tab w:val="left" w:pos="1004" w:leader="none"/>
          <w:tab w:val="left" w:pos="1005" w:leader="none"/>
        </w:tabs>
        <w:spacing w:lineRule="auto" w:line="360"/>
        <w:jc w:val="both"/>
        <w:rPr>
          <w:b/>
        </w:rPr>
      </w:pPr>
      <w:bookmarkStart w:id="3" w:name="_heading=h.yvlveyklez50"/>
      <w:bookmarkEnd w:id="3"/>
      <w:r>
        <w:rPr>
          <w:b/>
        </w:rPr>
        <w:t>LOCAL DA PRESTAÇÃO DOS SERVIÇOS</w:t>
      </w:r>
    </w:p>
    <w:p>
      <w:pPr>
        <w:pStyle w:val="normal11"/>
        <w:tabs>
          <w:tab w:val="clear" w:pos="720"/>
          <w:tab w:val="left" w:pos="1004" w:leader="none"/>
        </w:tabs>
        <w:spacing w:lineRule="auto" w:line="360"/>
        <w:jc w:val="both"/>
        <w:rPr/>
      </w:pPr>
      <w:r>
        <w:rPr/>
        <w:t>10.1 O serviço será prestado no seguinte endereço:  Rodovia Luiz Boiteux Piazza, 6542 – Bairro Ponta das Canas, Florianópolis/SC, CEP — 88056-701.</w:t>
      </w:r>
    </w:p>
    <w:p>
      <w:pPr>
        <w:pStyle w:val="normal11"/>
        <w:tabs>
          <w:tab w:val="clear" w:pos="720"/>
          <w:tab w:val="left" w:pos="1004" w:leader="none"/>
        </w:tabs>
        <w:spacing w:lineRule="auto" w:line="360"/>
        <w:jc w:val="both"/>
        <w:rPr/>
      </w:pPr>
      <w:r>
        <w:rPr/>
      </w:r>
    </w:p>
    <w:p>
      <w:pPr>
        <w:pStyle w:val="normal11"/>
        <w:numPr>
          <w:ilvl w:val="0"/>
          <w:numId w:val="27"/>
        </w:numPr>
        <w:pBdr/>
        <w:tabs>
          <w:tab w:val="clear" w:pos="720"/>
          <w:tab w:val="left" w:pos="1004" w:leader="none"/>
          <w:tab w:val="left" w:pos="1005" w:leader="none"/>
        </w:tabs>
        <w:spacing w:lineRule="auto" w:line="360"/>
        <w:jc w:val="both"/>
        <w:rPr>
          <w:b/>
        </w:rPr>
      </w:pPr>
      <w:bookmarkStart w:id="4" w:name="_heading=h.ysfei89gsmmx"/>
      <w:bookmarkEnd w:id="4"/>
      <w:r>
        <w:rPr>
          <w:color w:val="000000"/>
        </w:rPr>
        <w:t>FORMALIZAÇÃO DO CONTRATO</w:t>
      </w:r>
    </w:p>
    <w:p>
      <w:pPr>
        <w:pStyle w:val="normal11"/>
        <w:tabs>
          <w:tab w:val="clear" w:pos="720"/>
          <w:tab w:val="left" w:pos="1004" w:leader="none"/>
        </w:tabs>
        <w:spacing w:lineRule="auto" w:line="360"/>
        <w:jc w:val="both"/>
        <w:rPr/>
      </w:pPr>
      <w:r>
        <w:rPr/>
        <w:t>11.1 Após a homologação da presente licitação, a Secretaria Municipal de Licitações, Contratos e Parcerias formalizará o CONTRATO e a Secretaria Municipal de Saúde convocará a empresa vencedora da Licitação para assinatura deste, conforme Lei nº 14.133/2021.</w:t>
      </w:r>
    </w:p>
    <w:p>
      <w:pPr>
        <w:pStyle w:val="normal11"/>
        <w:tabs>
          <w:tab w:val="clear" w:pos="720"/>
          <w:tab w:val="left" w:pos="1004" w:leader="none"/>
        </w:tabs>
        <w:spacing w:lineRule="auto" w:line="360"/>
        <w:jc w:val="both"/>
        <w:rPr/>
      </w:pPr>
      <w:r>
        <w:rPr/>
      </w:r>
    </w:p>
    <w:p>
      <w:pPr>
        <w:pStyle w:val="normal11"/>
        <w:numPr>
          <w:ilvl w:val="0"/>
          <w:numId w:val="27"/>
        </w:numPr>
        <w:pBdr/>
        <w:tabs>
          <w:tab w:val="clear" w:pos="720"/>
          <w:tab w:val="left" w:pos="1004" w:leader="none"/>
          <w:tab w:val="left" w:pos="1005" w:leader="none"/>
        </w:tabs>
        <w:spacing w:lineRule="auto" w:line="360"/>
        <w:jc w:val="both"/>
        <w:rPr>
          <w:b/>
        </w:rPr>
      </w:pPr>
      <w:bookmarkStart w:id="5" w:name="_heading=h.2quqkm235qwa"/>
      <w:bookmarkEnd w:id="5"/>
      <w:r>
        <w:rPr>
          <w:color w:val="000000"/>
        </w:rPr>
        <w:t>OBRIGAÇÕES DA CONTRATADA</w:t>
      </w:r>
    </w:p>
    <w:p>
      <w:pPr>
        <w:pStyle w:val="Normal"/>
        <w:rPr/>
      </w:pPr>
      <w:r>
        <w:rPr/>
        <w:t>12.1 Responder pela solidez, segurança e perfeição do objeto executado, mesmo após a emissão do Termo de Recebimento Definitivo, durante o prazo irredutível de cinco anos, conforme prevê art. 618 da Lei n° 10.406/2002;</w:t>
      </w:r>
    </w:p>
    <w:p>
      <w:pPr>
        <w:pStyle w:val="normal11"/>
        <w:spacing w:lineRule="auto" w:line="360"/>
        <w:jc w:val="both"/>
        <w:rPr/>
      </w:pPr>
      <w:r>
        <w:rPr/>
        <w:t>12.2 Assumir integral responsabilidade por danos causados à CONTRATANTE ou a terceiros, decorrentes dos serviços ora contratados inclusive acidentes, mortes, perdas ou destruições parciais ou totais, isentando a CONTRATANTE de qualquer reclamação resultante de atos de seus prepostos ou pessoa física ou jurídica empregada ou ajustada na execução dos serviços;</w:t>
      </w:r>
    </w:p>
    <w:p>
      <w:pPr>
        <w:pStyle w:val="normal11"/>
        <w:spacing w:lineRule="auto" w:line="360"/>
        <w:jc w:val="both"/>
        <w:rPr/>
      </w:pPr>
      <w:r>
        <w:rPr/>
        <w:t>12.3 Manter preposto aceito pela CONTRATANTE, no local de execução do objeto para representá-la durante a execução;</w:t>
      </w:r>
    </w:p>
    <w:p>
      <w:pPr>
        <w:pStyle w:val="normal11"/>
        <w:spacing w:lineRule="auto" w:line="360"/>
        <w:jc w:val="both"/>
        <w:rPr/>
      </w:pPr>
      <w:r>
        <w:rPr/>
        <w:t>12.4 Reparar, corrigir, remover, reconstruir ou substituir, as suas expensas, no total ou em parte, o objeto deste Contrato ou parte dele, se forem verificados vícios, defeitos ou incorreções, resultantes da execução ou de materiais empregados;</w:t>
      </w:r>
    </w:p>
    <w:p>
      <w:pPr>
        <w:pStyle w:val="normal11"/>
        <w:spacing w:lineRule="auto" w:line="360"/>
        <w:jc w:val="both"/>
        <w:rPr/>
      </w:pPr>
      <w:r>
        <w:rPr/>
        <w:t>12.5 Responsabilizar-se pelos danos causados diretamente à CONTRATANTE ou a terceiros, decorrentes de sua culpa ou dolo na execução deste contrato, não excluindo ou reduzindo essa responsabilidade à fiscalização ou o acompanhamento da CONTRATANTE;</w:t>
      </w:r>
    </w:p>
    <w:p>
      <w:pPr>
        <w:pStyle w:val="normal11"/>
        <w:spacing w:lineRule="auto" w:line="360"/>
        <w:jc w:val="both"/>
        <w:rPr/>
      </w:pPr>
      <w:r>
        <w:rPr/>
        <w:t>12.6 A arcar com a responsabilidade pelos encargos trabalhistas, previdenciários, fiscais e comerciais, resultantes da execução deste Contrato;</w:t>
      </w:r>
    </w:p>
    <w:p>
      <w:pPr>
        <w:pStyle w:val="normal11"/>
        <w:spacing w:lineRule="auto" w:line="360"/>
        <w:jc w:val="both"/>
        <w:rPr/>
      </w:pPr>
      <w:r>
        <w:rPr/>
        <w:t>12.7 Pagar os ensaios, testes e demais provas, exigidos por normas técnicas oficiais para a boa execução do objeto deste Contrato;</w:t>
      </w:r>
    </w:p>
    <w:p>
      <w:pPr>
        <w:pStyle w:val="normal11"/>
        <w:spacing w:lineRule="auto" w:line="360"/>
        <w:jc w:val="both"/>
        <w:rPr/>
      </w:pPr>
      <w:r>
        <w:rPr/>
        <w:t>12.8 Será de responsabilidade do Executor, providenciar todos os laudos de materiais e/ou execução da obra e instalações que se façam necessários para comprovação dos materiais empregados ou para emissão de Habite-se (dos Bombeiros e SMDU), Alvará Sanitário ou de Funcionamento;</w:t>
      </w:r>
    </w:p>
    <w:p>
      <w:pPr>
        <w:pStyle w:val="normal11"/>
        <w:spacing w:lineRule="auto" w:line="360"/>
        <w:jc w:val="both"/>
        <w:rPr/>
      </w:pPr>
      <w:r>
        <w:rPr/>
        <w:t>12.9 Deter o ônus pela solidez e segurança do objeto deste Contrato, assim como pela responsabilidade ético-profissional de sua perfeita execução, dentro dos limites estabelecidos pela lei, mesmo após o seu recebimento provisório ou definitivo;</w:t>
      </w:r>
    </w:p>
    <w:p>
      <w:pPr>
        <w:pStyle w:val="normal11"/>
        <w:spacing w:lineRule="auto" w:line="360"/>
        <w:jc w:val="both"/>
        <w:rPr/>
      </w:pPr>
      <w:r>
        <w:rPr/>
        <w:t>12.10 Manter, durante toda a execução do Contrato, em compatibilidade com as obrigações assumidas, todas as condições de habilitação e qualificação exigidas no processo licitatório;</w:t>
      </w:r>
    </w:p>
    <w:p>
      <w:pPr>
        <w:pStyle w:val="normal11"/>
        <w:spacing w:lineRule="auto" w:line="360"/>
        <w:jc w:val="both"/>
        <w:rPr/>
      </w:pPr>
      <w:r>
        <w:rPr/>
        <w:t>12.11 Responsabilizar-se pelos danos causados à administração ou a terceiros, decorrentes de sua culpa ou dolo, quando da execução do serviço, objeto do Contrato;</w:t>
      </w:r>
    </w:p>
    <w:p>
      <w:pPr>
        <w:pStyle w:val="normal11"/>
        <w:spacing w:lineRule="auto" w:line="360"/>
        <w:jc w:val="both"/>
        <w:rPr/>
      </w:pPr>
      <w:r>
        <w:rPr/>
        <w:t>12.12 É de total responsabilidade da CONTRATADA, a observância das normas relativas à Segurança e Medicina do Trabalho, que deverão estar em efetivo funcionamento, durante a execução do objeto deste Contrato;</w:t>
      </w:r>
    </w:p>
    <w:p>
      <w:pPr>
        <w:pStyle w:val="normal11"/>
        <w:spacing w:lineRule="auto" w:line="360"/>
        <w:jc w:val="both"/>
        <w:rPr/>
      </w:pPr>
      <w:r>
        <w:rPr/>
        <w:t>12.13 As multas ou outras penalidades impostas à CONTRATADA pela Superintendência Regional do Trabalho deverão ser pagas pela mesma;</w:t>
      </w:r>
    </w:p>
    <w:p>
      <w:pPr>
        <w:pStyle w:val="normal11"/>
        <w:spacing w:lineRule="auto" w:line="360"/>
        <w:jc w:val="both"/>
        <w:rPr/>
      </w:pPr>
      <w:r>
        <w:rPr/>
        <w:t>12.14 A empresa contratada deverá corrigir e reparar, às suas custas, no total ou em parte, os itens em que forem verificados em desconformidade com o exigido no Contrato;</w:t>
      </w:r>
    </w:p>
    <w:p>
      <w:pPr>
        <w:pStyle w:val="normal11"/>
        <w:spacing w:lineRule="auto" w:line="360"/>
        <w:jc w:val="both"/>
        <w:rPr/>
      </w:pPr>
      <w:r>
        <w:rPr/>
        <w:t>12.15 Atender aos encargos trabalhistas, previdenciários, fiscais e comerciais decorrentes da execução do Contrato.</w:t>
      </w:r>
    </w:p>
    <w:p>
      <w:pPr>
        <w:pStyle w:val="normal11"/>
        <w:spacing w:lineRule="auto" w:line="360"/>
        <w:jc w:val="both"/>
        <w:rPr/>
      </w:pPr>
      <w:r>
        <w:rPr/>
        <w:t xml:space="preserve">12.16 Quando não for possível a verificação da regularidade no Sistema de Cadastro de Fornecedores – SICAF, o CONTRATADO deverá entregar ao setor responsável pela fiscalização do contrato, junto com a Nota Fiscal para fins de pagamento, os seguintes documentos: </w:t>
      </w:r>
    </w:p>
    <w:p>
      <w:pPr>
        <w:pStyle w:val="normal11"/>
        <w:spacing w:lineRule="auto" w:line="360"/>
        <w:jc w:val="both"/>
        <w:rPr/>
      </w:pPr>
      <w:r>
        <w:rPr/>
        <w:t xml:space="preserve">a) Prova de regularidade relativa à Seguridade Social; </w:t>
      </w:r>
    </w:p>
    <w:p>
      <w:pPr>
        <w:pStyle w:val="normal11"/>
        <w:spacing w:lineRule="auto" w:line="360"/>
        <w:jc w:val="both"/>
        <w:rPr/>
      </w:pPr>
      <w:r>
        <w:rPr/>
        <w:t xml:space="preserve">b) Certidão conjunta relativa aos tributos federais e à Dívida Ativa da União; </w:t>
      </w:r>
    </w:p>
    <w:p>
      <w:pPr>
        <w:pStyle w:val="normal11"/>
        <w:spacing w:lineRule="auto" w:line="360"/>
        <w:jc w:val="both"/>
        <w:rPr/>
      </w:pPr>
      <w:r>
        <w:rPr/>
        <w:t xml:space="preserve">c) Certidões que comprovem a regularidade perante a Fazenda Estadual ou Distrital do domicílio ou sede do CONTRATADO; </w:t>
      </w:r>
    </w:p>
    <w:p>
      <w:pPr>
        <w:pStyle w:val="normal11"/>
        <w:spacing w:lineRule="auto" w:line="360"/>
        <w:jc w:val="both"/>
        <w:rPr/>
      </w:pPr>
      <w:r>
        <w:rPr/>
        <w:t xml:space="preserve">d) Certidão de Regularidade do FGTS – CRF; e </w:t>
      </w:r>
    </w:p>
    <w:p>
      <w:pPr>
        <w:pStyle w:val="normal11"/>
        <w:spacing w:lineRule="auto" w:line="360"/>
        <w:jc w:val="both"/>
        <w:rPr/>
      </w:pPr>
      <w:r>
        <w:rPr/>
        <w:t>e) Certidão Negativa de Débitos Trabalhistas – CNDT.</w:t>
      </w:r>
    </w:p>
    <w:p>
      <w:pPr>
        <w:pStyle w:val="normal11"/>
        <w:tabs>
          <w:tab w:val="clear" w:pos="720"/>
          <w:tab w:val="left" w:pos="1004" w:leader="none"/>
        </w:tabs>
        <w:spacing w:lineRule="auto" w:line="360"/>
        <w:jc w:val="both"/>
        <w:rPr/>
      </w:pPr>
      <w:r>
        <w:rPr/>
      </w:r>
    </w:p>
    <w:p>
      <w:pPr>
        <w:pStyle w:val="Normal"/>
        <w:rPr>
          <w:color w:val="000000"/>
        </w:rPr>
      </w:pPr>
      <w:r>
        <w:rPr>
          <w:color w:val="000000"/>
        </w:rPr>
        <w:t>OBRIGAÇÕES DO CONTRATANTE</w:t>
      </w:r>
    </w:p>
    <w:p>
      <w:pPr>
        <w:pStyle w:val="normal11"/>
        <w:spacing w:lineRule="auto" w:line="360"/>
        <w:jc w:val="both"/>
        <w:rPr/>
      </w:pPr>
      <w:r>
        <w:rPr/>
        <w:t>13.1.</w:t>
        <w:tab/>
        <w:t>São obrigações do CONTRATANTE, exigir o cumprimento de todas as obrigações assumidas pelo CONTRATADO;</w:t>
      </w:r>
    </w:p>
    <w:p>
      <w:pPr>
        <w:pStyle w:val="normal11"/>
        <w:spacing w:lineRule="auto" w:line="360"/>
        <w:jc w:val="both"/>
        <w:rPr/>
      </w:pPr>
      <w:r>
        <w:rPr/>
        <w:t>13.2.</w:t>
        <w:tab/>
        <w:t>Receber o objeto no prazo e condições estabelecidas neste Termo de Referência;</w:t>
      </w:r>
    </w:p>
    <w:p>
      <w:pPr>
        <w:pStyle w:val="normal11"/>
        <w:spacing w:lineRule="auto" w:line="360"/>
        <w:jc w:val="both"/>
        <w:rPr/>
      </w:pPr>
      <w:r>
        <w:rPr/>
        <w:t>13.3.</w:t>
        <w:tab/>
        <w:t>Notificar o CONTRATADO por escrito sobre vícios, defeitos ou incorreções verificadas no objeto fornecido, para que seja por ele substituído, reparado ou corrigido, no total ou em parte, às suas expensas;</w:t>
      </w:r>
    </w:p>
    <w:p>
      <w:pPr>
        <w:pStyle w:val="normal11"/>
        <w:spacing w:lineRule="auto" w:line="360"/>
        <w:jc w:val="both"/>
        <w:rPr/>
      </w:pPr>
      <w:r>
        <w:rPr/>
        <w:t>13.4.</w:t>
        <w:tab/>
        <w:t>Acompanhar e fiscalizar a execução do contrato e o cumprimento das obrigações pelo CONTRATADO;</w:t>
      </w:r>
    </w:p>
    <w:p>
      <w:pPr>
        <w:pStyle w:val="normal11"/>
        <w:spacing w:lineRule="auto" w:line="360"/>
        <w:jc w:val="both"/>
        <w:rPr/>
      </w:pPr>
      <w:r>
        <w:rPr/>
        <w:t>13.5.</w:t>
        <w:tab/>
        <w:t>Comunicar a empresa para emissão de Nota Fiscal no que for pertinente à parcela incontroversa da execução do objeto, para efeito de liquidação e pagamento, quando houver controvérsia sobre a execução do objeto, quanto à dimensão, qualidade e quantidade, conforme o art. 143 da Lei n.º 14.133/2021;</w:t>
      </w:r>
    </w:p>
    <w:p>
      <w:pPr>
        <w:pStyle w:val="normal11"/>
        <w:spacing w:lineRule="auto" w:line="360"/>
        <w:jc w:val="both"/>
        <w:rPr/>
      </w:pPr>
      <w:r>
        <w:rPr/>
        <w:t>13.6.</w:t>
        <w:tab/>
        <w:t>Efetuar o pagamento ao CONTRATADO do valor correspondente à execução do objeto, no prazo, forma e condições estabelecidos no presente Contrato e no Termo de Referência;</w:t>
      </w:r>
    </w:p>
    <w:p>
      <w:pPr>
        <w:pStyle w:val="normal11"/>
        <w:spacing w:lineRule="auto" w:line="360"/>
        <w:jc w:val="both"/>
        <w:rPr/>
      </w:pPr>
      <w:r>
        <w:rPr/>
        <w:t>13.7.</w:t>
        <w:tab/>
        <w:t xml:space="preserve">Aplicar ao CONTRATADO as sanções previstas na lei; </w:t>
      </w:r>
    </w:p>
    <w:p>
      <w:pPr>
        <w:pStyle w:val="normal11"/>
        <w:spacing w:lineRule="auto" w:line="360"/>
        <w:jc w:val="both"/>
        <w:rPr/>
      </w:pPr>
      <w:r>
        <w:rPr/>
        <w:t>13.8.</w:t>
        <w:tab/>
        <w:t>Cientificar o órgão de representação da Controladoria Geral do Município para adoção das medidas cabíveis quando do descumprimento de obrigações pelo CONTRATADO;</w:t>
      </w:r>
    </w:p>
    <w:p>
      <w:pPr>
        <w:pStyle w:val="normal11"/>
        <w:spacing w:lineRule="auto" w:line="360"/>
        <w:jc w:val="both"/>
        <w:rPr/>
      </w:pPr>
      <w:r>
        <w:rPr/>
        <w:t>13.9.</w:t>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11"/>
        <w:spacing w:lineRule="auto" w:line="360"/>
        <w:jc w:val="both"/>
        <w:rPr/>
      </w:pPr>
      <w:r>
        <w:rPr/>
        <w:t>13.10.</w:t>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11"/>
        <w:spacing w:lineRule="auto" w:line="360"/>
        <w:jc w:val="both"/>
        <w:rPr/>
      </w:pPr>
      <w:r>
        <w:rPr/>
      </w:r>
    </w:p>
    <w:p>
      <w:pPr>
        <w:pStyle w:val="Heading1"/>
        <w:keepNext w:val="false"/>
        <w:keepLines w:val="false"/>
        <w:numPr>
          <w:ilvl w:val="0"/>
          <w:numId w:val="27"/>
        </w:numPr>
        <w:pBdr/>
        <w:spacing w:lineRule="auto" w:line="360" w:before="0" w:after="120"/>
        <w:ind w:hanging="992" w:left="992"/>
        <w:jc w:val="both"/>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CRITÉRIOS DE MEDIÇÃO E DE PAGAMENTO</w:t>
      </w:r>
    </w:p>
    <w:p>
      <w:pPr>
        <w:pStyle w:val="normal11"/>
        <w:tabs>
          <w:tab w:val="clear" w:pos="720"/>
          <w:tab w:val="left" w:pos="1004" w:leader="none"/>
          <w:tab w:val="left" w:pos="1005" w:leader="none"/>
        </w:tabs>
        <w:spacing w:lineRule="auto" w:line="360"/>
        <w:ind w:left="1005"/>
        <w:jc w:val="both"/>
        <w:rPr/>
      </w:pPr>
      <w:r>
        <w:rPr/>
      </w:r>
    </w:p>
    <w:p>
      <w:pPr>
        <w:pStyle w:val="normal11"/>
        <w:tabs>
          <w:tab w:val="clear" w:pos="720"/>
          <w:tab w:val="left" w:pos="1004" w:leader="none"/>
          <w:tab w:val="left" w:pos="1005" w:leader="none"/>
        </w:tabs>
        <w:spacing w:lineRule="auto" w:line="360"/>
        <w:jc w:val="both"/>
        <w:rPr/>
      </w:pPr>
      <w:r>
        <w:rPr/>
        <w:t>14.1 Concluídas todas as obras e serviços, objetos desta licitação, se estiverem em perfeitas condições atestada pela FISCALIZAÇÃO, e após efetuados todos os testes e ensaios necessários, bem como recebida toda a documentação exigida neste memorial e nos demais documentos contratuais, a obra poderá ser dada como concluída e recebida pela CONTRATANTE.</w:t>
      </w:r>
    </w:p>
    <w:p>
      <w:pPr>
        <w:pStyle w:val="normal11"/>
        <w:tabs>
          <w:tab w:val="clear" w:pos="720"/>
          <w:tab w:val="left" w:pos="1004" w:leader="none"/>
          <w:tab w:val="left" w:pos="1005" w:leader="none"/>
        </w:tabs>
        <w:spacing w:lineRule="auto" w:line="360"/>
        <w:jc w:val="both"/>
        <w:rPr/>
      </w:pPr>
      <w:r>
        <w:rPr/>
        <w:t>14.2 Para a entrega da obra, a Contratada obriga-se a apresentar, além de todos os certificados e garantias de materiais e equipamentos exigidos neste memorial e nos memoriais específicos de cada disciplina, todas as ligações definitivas concluídas, em operação e perfeito funcionamento bem como laudos exigidos para emissão do Habite-se da obra. A critério da FISCALIZAÇÃO DA OBRA deverão ser apresentadas as notas fiscais de compra dos materiais sujeitos à comprovação de especificação como pisos, vidros laminados e outros que se julgue necessário.</w:t>
      </w:r>
    </w:p>
    <w:p>
      <w:pPr>
        <w:pStyle w:val="normal11"/>
        <w:tabs>
          <w:tab w:val="clear" w:pos="720"/>
          <w:tab w:val="left" w:pos="1004" w:leader="none"/>
          <w:tab w:val="left" w:pos="1005" w:leader="none"/>
        </w:tabs>
        <w:spacing w:lineRule="auto" w:line="360"/>
        <w:jc w:val="both"/>
        <w:rPr/>
      </w:pPr>
      <w:r>
        <w:rPr/>
        <w:t>14.3 Ao final de todos os serviços, deverá ser entregue à Fiscalização os desenhos “as built”, memoriais e planilhas em link de acesso a um serviço de armazenamento em nuvem nas versões digitais para manuseio (ex:. dwg, xls, doc, etc.) e versões de plotagem (ex.: plt, pdf,etc.), indicando toda e qualquer alteração do projeto executivo decorrente de eventuais “soluções de obra”, “termos aditivos” etc. Todos os certificados de garantia de materiais e equipamentos utilizados e ou instalados devem ser oficialmente entregues à Fiscalização, registrando o item, prazo de garantia e estado de qualidade.</w:t>
      </w:r>
    </w:p>
    <w:p>
      <w:pPr>
        <w:pStyle w:val="normal11"/>
        <w:tabs>
          <w:tab w:val="clear" w:pos="720"/>
          <w:tab w:val="left" w:pos="1004" w:leader="none"/>
          <w:tab w:val="left" w:pos="1005" w:leader="none"/>
        </w:tabs>
        <w:spacing w:lineRule="auto" w:line="360"/>
        <w:jc w:val="both"/>
        <w:rPr/>
      </w:pPr>
      <w:r>
        <w:rPr/>
        <w:t>14.4 Caberá à Contratada realizar todos os testes de materiais e equipamentos exigidos pela Fiscalização, sem que isto represente quaisquer custos adicionais para a Contratante. Na verificação final, serão obedecidas as seguintes normas da ABNT ou sucedâneas:</w:t>
      </w:r>
    </w:p>
    <w:p>
      <w:pPr>
        <w:pStyle w:val="Normal"/>
        <w:rPr/>
      </w:pPr>
      <w:r>
        <w:rPr/>
        <w:t>EB 829/75 – Recebimento de Instalações Prediais de Água Fria (NBR5651)</w:t>
      </w:r>
    </w:p>
    <w:p>
      <w:pPr>
        <w:pStyle w:val="normal11"/>
        <w:numPr>
          <w:ilvl w:val="0"/>
          <w:numId w:val="32"/>
        </w:numPr>
        <w:spacing w:lineRule="auto" w:line="360"/>
        <w:jc w:val="both"/>
        <w:rPr/>
      </w:pPr>
      <w:r>
        <w:rPr/>
        <w:t>NB 19/83 – Instalações Prediais de Esgotos Sanitários (NBR 8160), Inspeções e Ensaios</w:t>
      </w:r>
    </w:p>
    <w:p>
      <w:pPr>
        <w:pStyle w:val="normal11"/>
        <w:numPr>
          <w:ilvl w:val="0"/>
          <w:numId w:val="32"/>
        </w:numPr>
        <w:spacing w:lineRule="auto" w:line="360"/>
        <w:jc w:val="both"/>
        <w:rPr/>
      </w:pPr>
      <w:r>
        <w:rPr/>
        <w:t>NB-597/77 – Recebimento de Serviços de Obras de Engenharia e Arquitetura (NBR 5675) Deverão ser fornecidas ao PROPRIETÁRIO/CONTRATANTE, as chaves originais de cada porta devidamente identificadas com o nome do ambiente conforme constante no projeto arquitetônico e/ou na placa de sinalização de cada porta.</w:t>
      </w:r>
    </w:p>
    <w:p>
      <w:pPr>
        <w:pStyle w:val="normal11"/>
        <w:tabs>
          <w:tab w:val="clear" w:pos="720"/>
          <w:tab w:val="left" w:pos="1004" w:leader="none"/>
        </w:tabs>
        <w:spacing w:lineRule="auto" w:line="360"/>
        <w:jc w:val="both"/>
        <w:rPr/>
      </w:pPr>
      <w:r>
        <w:rPr/>
        <w:t>14.5 Ao encaminhar Notas Fiscais para pagamento a contratada deverá encaminhar cópia das seguintes certidões negativas: Certidão Negativa de Débitos Federais, Certidão Negativa de Débitos Estaduais, Certidão Negativa de Débitos Municipais, Certidão Negativa de Débitos Trabalhistas, Certidão de Regularidade FGTS.</w:t>
      </w:r>
    </w:p>
    <w:p>
      <w:pPr>
        <w:pStyle w:val="normal11"/>
        <w:tabs>
          <w:tab w:val="clear" w:pos="720"/>
          <w:tab w:val="left" w:pos="1004" w:leader="none"/>
        </w:tabs>
        <w:spacing w:lineRule="auto" w:line="360"/>
        <w:jc w:val="both"/>
        <w:rPr/>
      </w:pPr>
      <w:r>
        <w:rPr/>
        <w:t>14.6 A medição dos serviços prestados será feita mensalmente ou conforme o avanço de cada etapa, de acordo com o cronograma físico-financeiro aprovado.</w:t>
      </w:r>
    </w:p>
    <w:p>
      <w:pPr>
        <w:pStyle w:val="normal11"/>
        <w:tabs>
          <w:tab w:val="clear" w:pos="720"/>
          <w:tab w:val="left" w:pos="1004" w:leader="none"/>
        </w:tabs>
        <w:spacing w:lineRule="auto" w:line="360"/>
        <w:jc w:val="both"/>
        <w:rPr/>
      </w:pPr>
      <w:r>
        <w:rPr/>
        <w:t>14.7 A contratada deverá apresentar um relatório de medição, detalhando as quantidades executadas, o progresso de cada fase da obra e as condições de execução.</w:t>
      </w:r>
    </w:p>
    <w:p>
      <w:pPr>
        <w:pStyle w:val="normal11"/>
        <w:tabs>
          <w:tab w:val="clear" w:pos="720"/>
          <w:tab w:val="left" w:pos="1004" w:leader="none"/>
        </w:tabs>
        <w:spacing w:lineRule="auto" w:line="360"/>
        <w:jc w:val="both"/>
        <w:rPr/>
      </w:pPr>
      <w:r>
        <w:rPr/>
        <w:t>14.8 Caso a obra apresente serviços extras ou emergenciais, o pagamento será realizado de acordo com a aprovação prévia pela administração pública , após formalização de aditivo contratual, com base em quantidades e valores acordados.</w:t>
      </w:r>
    </w:p>
    <w:p>
      <w:pPr>
        <w:pStyle w:val="normal11"/>
        <w:tabs>
          <w:tab w:val="clear" w:pos="720"/>
          <w:tab w:val="left" w:pos="1004" w:leader="none"/>
        </w:tabs>
        <w:spacing w:lineRule="auto" w:line="360"/>
        <w:jc w:val="both"/>
        <w:rPr/>
      </w:pPr>
      <w:r>
        <w:rPr/>
        <w:t>14.9 A contratada permanecerá responsável pela qualidade do trabalho executado, sendo passível de ajustes nos valores pagos caso haja não conformidade com o projeto ou as especificações do contrato.</w:t>
      </w:r>
    </w:p>
    <w:p>
      <w:pPr>
        <w:pStyle w:val="normal11"/>
        <w:tabs>
          <w:tab w:val="clear" w:pos="720"/>
          <w:tab w:val="left" w:pos="1004" w:leader="none"/>
        </w:tabs>
        <w:spacing w:lineRule="auto" w:line="360"/>
        <w:jc w:val="both"/>
        <w:rPr/>
      </w:pPr>
      <w:r>
        <w:rPr/>
        <w:t>14.10 Será indicada a retenção ou glosa no pagamento, proporcional à irregularidade verificada, sem prejuízo das sanções cabíveis, caso se constate que a Contratada:</w:t>
      </w:r>
    </w:p>
    <w:p>
      <w:pPr>
        <w:pStyle w:val="normal11"/>
        <w:numPr>
          <w:ilvl w:val="0"/>
          <w:numId w:val="31"/>
        </w:numPr>
        <w:tabs>
          <w:tab w:val="clear" w:pos="720"/>
          <w:tab w:val="left" w:pos="1004" w:leader="none"/>
        </w:tabs>
        <w:spacing w:lineRule="auto" w:line="360"/>
        <w:jc w:val="both"/>
        <w:rPr/>
      </w:pPr>
      <w:r>
        <w:rPr/>
        <w:t>Não produzir os resultados acordados;</w:t>
      </w:r>
    </w:p>
    <w:p>
      <w:pPr>
        <w:pStyle w:val="normal11"/>
        <w:numPr>
          <w:ilvl w:val="0"/>
          <w:numId w:val="31"/>
        </w:numPr>
        <w:tabs>
          <w:tab w:val="clear" w:pos="720"/>
          <w:tab w:val="left" w:pos="1004" w:leader="none"/>
        </w:tabs>
        <w:spacing w:lineRule="auto" w:line="360"/>
        <w:jc w:val="both"/>
        <w:rPr/>
      </w:pPr>
      <w:r>
        <w:rPr/>
        <w:t>Deixar de executar, ou não com a qualidade mínima exigida as atividades contratadas; ou</w:t>
      </w:r>
    </w:p>
    <w:p>
      <w:pPr>
        <w:pStyle w:val="normal11"/>
        <w:numPr>
          <w:ilvl w:val="0"/>
          <w:numId w:val="31"/>
        </w:numPr>
        <w:tabs>
          <w:tab w:val="clear" w:pos="720"/>
          <w:tab w:val="left" w:pos="1004" w:leader="none"/>
        </w:tabs>
        <w:spacing w:lineRule="auto" w:line="360"/>
        <w:jc w:val="both"/>
        <w:rPr/>
      </w:pPr>
      <w:r>
        <w:rPr/>
        <w:t>Deixar de utilizar materiais e recursos humanos com a qualidade mínima exigidas para execução do serviço, ou utilizá-los com qualidade ou quantidade inferior à demanda.</w:t>
      </w:r>
    </w:p>
    <w:p>
      <w:pPr>
        <w:pStyle w:val="normal11"/>
        <w:tabs>
          <w:tab w:val="clear" w:pos="720"/>
          <w:tab w:val="left" w:pos="1004" w:leader="none"/>
        </w:tabs>
        <w:spacing w:lineRule="auto" w:line="360"/>
        <w:jc w:val="both"/>
        <w:rPr/>
      </w:pPr>
      <w:r>
        <w:rPr/>
        <w:t>14.11 O fiscal técnico do contrato realizará o recebimento provisório do objeto do contrato mediante termo detalhado que comprove o cumprimento das exigências de caráter técnico no prazo de 15 (quinze) dias.(</w:t>
      </w:r>
      <w:r>
        <w:fldChar w:fldCharType="begin"/>
      </w:r>
      <w:r>
        <w:rPr>
          <w:rStyle w:val="Style3"/>
          <w:u w:val="single"/>
        </w:rPr>
        <w:instrText xml:space="preserve"> HYPERLINK "http://www.planalto.gov.br/ccivil_03/_ato2019-2022/2022/decreto/D11246.htm" \l "art22"</w:instrText>
      </w:r>
      <w:r>
        <w:rPr>
          <w:rStyle w:val="Style3"/>
          <w:u w:val="single"/>
        </w:rPr>
        <w:fldChar w:fldCharType="separate"/>
      </w:r>
      <w:r>
        <w:rPr>
          <w:rStyle w:val="Style3"/>
          <w:u w:val="single"/>
        </w:rPr>
        <w:t>Art. 22, X, Decreto nº 11.246, de 2022</w:t>
      </w:r>
      <w:r>
        <w:rPr>
          <w:rStyle w:val="Style3"/>
          <w:u w:val="single"/>
        </w:rPr>
        <w:fldChar w:fldCharType="end"/>
      </w:r>
      <w:r>
        <w:rPr/>
        <w:t>).</w:t>
      </w:r>
    </w:p>
    <w:p>
      <w:pPr>
        <w:pStyle w:val="normal11"/>
        <w:tabs>
          <w:tab w:val="clear" w:pos="720"/>
          <w:tab w:val="left" w:pos="1004" w:leader="none"/>
        </w:tabs>
        <w:spacing w:lineRule="auto" w:line="360"/>
        <w:jc w:val="both"/>
        <w:rPr/>
      </w:pPr>
      <w:r>
        <w:rPr/>
        <w:t>14.12 O fiscal administrativo do contrato realizará o recebimento provisório do objeto do contrato mediante termo detalhado que comprove o cumprimento das exigências de caráter administrativo no prazo de 15 (quinze) dias.. (</w:t>
      </w:r>
      <w:r>
        <w:fldChar w:fldCharType="begin"/>
      </w:r>
      <w:r>
        <w:rPr>
          <w:rStyle w:val="Style3"/>
          <w:u w:val="single"/>
        </w:rPr>
        <w:instrText xml:space="preserve"> HYPERLINK "http://www.planalto.gov.br/ccivil_03/_ato2019-2022/2022/decreto/D11246.htm" \l "art23"</w:instrText>
      </w:r>
      <w:r>
        <w:rPr>
          <w:rStyle w:val="Style3"/>
          <w:u w:val="single"/>
        </w:rPr>
        <w:fldChar w:fldCharType="separate"/>
      </w:r>
      <w:r>
        <w:rPr>
          <w:rStyle w:val="Style3"/>
          <w:u w:val="single"/>
        </w:rPr>
        <w:t>Art. 23, X, Decreto nº 11.246, de 2022</w:t>
      </w:r>
      <w:r>
        <w:rPr>
          <w:rStyle w:val="Style3"/>
          <w:u w:val="single"/>
        </w:rPr>
        <w:fldChar w:fldCharType="end"/>
      </w:r>
      <w:r>
        <w:rPr/>
        <w:t>).</w:t>
      </w:r>
    </w:p>
    <w:p>
      <w:pPr>
        <w:pStyle w:val="normal11"/>
        <w:tabs>
          <w:tab w:val="clear" w:pos="720"/>
          <w:tab w:val="left" w:pos="1004" w:leader="none"/>
        </w:tabs>
        <w:spacing w:lineRule="auto" w:line="360"/>
        <w:jc w:val="both"/>
        <w:rPr/>
      </w:pPr>
      <w:r>
        <w:rPr/>
        <w:t>14.13 A fiscalização não efetuará o ateste da última e/ou única medição de serviços até que sejam sanadas todas as eventuais pendências que possam vir a ser apontadas no Recebimento Provisório. (</w:t>
      </w:r>
      <w:r>
        <w:fldChar w:fldCharType="begin"/>
      </w:r>
      <w:r>
        <w:rPr>
          <w:rStyle w:val="Style3"/>
          <w:u w:val="single"/>
        </w:rPr>
        <w:instrText xml:space="preserve"> HYPERLINK "http://www.planalto.gov.br/ccivil_03/_ato2019-2022/2021/lei/L14133.htm" \l "art119"</w:instrText>
      </w:r>
      <w:r>
        <w:rPr>
          <w:rStyle w:val="Style3"/>
          <w:u w:val="single"/>
        </w:rPr>
        <w:fldChar w:fldCharType="separate"/>
      </w:r>
      <w:r>
        <w:rPr>
          <w:rStyle w:val="Style3"/>
          <w:u w:val="single"/>
        </w:rPr>
        <w:t>Art. 119 c/c art. 140 da Lei nº 14133, de 2021</w:t>
      </w:r>
      <w:r>
        <w:rPr>
          <w:rStyle w:val="Style3"/>
          <w:u w:val="single"/>
        </w:rPr>
        <w:fldChar w:fldCharType="end"/>
      </w:r>
      <w:r>
        <w:rPr/>
        <w:t>).</w:t>
      </w:r>
    </w:p>
    <w:p>
      <w:pPr>
        <w:pStyle w:val="normal11"/>
        <w:tabs>
          <w:tab w:val="clear" w:pos="720"/>
          <w:tab w:val="left" w:pos="1004" w:leader="none"/>
        </w:tabs>
        <w:spacing w:lineRule="auto" w:line="360"/>
        <w:jc w:val="both"/>
        <w:rPr/>
      </w:pPr>
      <w:r>
        <w:rPr/>
        <w:t>14.14 O recebimento definitivo ocorrerá no prazo de 60 (sessenta) dias úteis, a contar do recebimento provisório, após a verificação da qualidade e quantidade do serviço e consequente aceitação mediante termo detalhado, obedecendo os seguintes procedimentos:</w:t>
      </w:r>
    </w:p>
    <w:p>
      <w:pPr>
        <w:pStyle w:val="normal11"/>
        <w:numPr>
          <w:ilvl w:val="0"/>
          <w:numId w:val="40"/>
        </w:numPr>
        <w:tabs>
          <w:tab w:val="clear" w:pos="720"/>
          <w:tab w:val="left" w:pos="1004" w:leader="none"/>
        </w:tabs>
        <w:spacing w:lineRule="auto" w:line="360"/>
        <w:jc w:val="both"/>
        <w:rPr/>
      </w:pPr>
      <w:r>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fldChar w:fldCharType="begin"/>
      </w:r>
      <w:r>
        <w:rPr>
          <w:rStyle w:val="Style3"/>
          <w:u w:val="single"/>
        </w:rPr>
        <w:instrText xml:space="preserve"> HYPERLINK "http://www.planalto.gov.br/ccivil_03/_ato2019-2022/2022/decreto/D11246.htm" \l "art21"</w:instrText>
      </w:r>
      <w:r>
        <w:rPr>
          <w:rStyle w:val="Style3"/>
          <w:u w:val="single"/>
        </w:rPr>
        <w:fldChar w:fldCharType="separate"/>
      </w:r>
      <w:r>
        <w:rPr>
          <w:rStyle w:val="Style3"/>
          <w:u w:val="single"/>
        </w:rPr>
        <w:t>art. 21, VIII, Decreto nº 11.246, de 2022</w:t>
      </w:r>
      <w:r>
        <w:rPr>
          <w:rStyle w:val="Style3"/>
          <w:u w:val="single"/>
        </w:rPr>
        <w:fldChar w:fldCharType="end"/>
      </w:r>
      <w:r>
        <w:rPr/>
        <w:t>).</w:t>
      </w:r>
    </w:p>
    <w:p>
      <w:pPr>
        <w:pStyle w:val="normal11"/>
        <w:numPr>
          <w:ilvl w:val="0"/>
          <w:numId w:val="40"/>
        </w:numPr>
        <w:tabs>
          <w:tab w:val="clear" w:pos="720"/>
          <w:tab w:val="left" w:pos="1004" w:leader="none"/>
        </w:tabs>
        <w:spacing w:lineRule="auto" w:line="360"/>
        <w:jc w:val="both"/>
        <w:rPr/>
      </w:pPr>
      <w: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ormal11"/>
        <w:numPr>
          <w:ilvl w:val="0"/>
          <w:numId w:val="40"/>
        </w:numPr>
        <w:tabs>
          <w:tab w:val="clear" w:pos="720"/>
          <w:tab w:val="left" w:pos="1004" w:leader="none"/>
        </w:tabs>
        <w:spacing w:lineRule="auto" w:line="360"/>
        <w:jc w:val="both"/>
        <w:rPr/>
      </w:pPr>
      <w:r>
        <w:rPr/>
        <w:t>Emitir Termo Circunstanciado para efeito de recebimento definitivo dos serviços prestados, com base nos relatórios e documentações apresentadas; e</w:t>
      </w:r>
    </w:p>
    <w:p>
      <w:pPr>
        <w:pStyle w:val="normal11"/>
        <w:numPr>
          <w:ilvl w:val="0"/>
          <w:numId w:val="40"/>
        </w:numPr>
        <w:tabs>
          <w:tab w:val="clear" w:pos="720"/>
          <w:tab w:val="left" w:pos="1004" w:leader="none"/>
        </w:tabs>
        <w:spacing w:lineRule="auto" w:line="360"/>
        <w:jc w:val="both"/>
        <w:rPr/>
      </w:pPr>
      <w:r>
        <w:rPr/>
        <w:t>Comunicar à empresa para que emita a Nota Fiscal ou Fatura, com o valor exato dimensionado pela fiscalização.</w:t>
      </w:r>
    </w:p>
    <w:p>
      <w:pPr>
        <w:pStyle w:val="normal11"/>
        <w:numPr>
          <w:ilvl w:val="0"/>
          <w:numId w:val="40"/>
        </w:numPr>
        <w:tabs>
          <w:tab w:val="clear" w:pos="720"/>
          <w:tab w:val="left" w:pos="1004" w:leader="none"/>
        </w:tabs>
        <w:spacing w:lineRule="auto" w:line="360"/>
        <w:jc w:val="both"/>
        <w:rPr/>
      </w:pPr>
      <w:r>
        <w:rPr/>
        <w:t>Enviar a documentação pertinente ao setor de contratos para a formalização dos procedimentos de liquidação e pagamento, no valor dimensionado pela fiscalização e gestão</w:t>
      </w:r>
    </w:p>
    <w:p>
      <w:pPr>
        <w:pStyle w:val="normal11"/>
        <w:tabs>
          <w:tab w:val="clear" w:pos="720"/>
          <w:tab w:val="left" w:pos="1004" w:leader="none"/>
        </w:tabs>
        <w:spacing w:lineRule="auto" w:line="360"/>
        <w:jc w:val="both"/>
        <w:rPr/>
      </w:pPr>
      <w:r>
        <w:rPr/>
        <w:t>14.15 No caso de controvérsia sobre a execução do objeto, quanto à dimensão, qualidade, quantidade ou atraso na entrega, deverá ser observado o teor do art. 143 da Lei n.º 14.133, de 2021, comunicando-se à empresa para emissão de Nota Fiscal no que for pertinente à parcela incontroversa da execução do objeto, para efeito de liquidação e pagamento.</w:t>
      </w:r>
    </w:p>
    <w:p>
      <w:pPr>
        <w:pStyle w:val="normal11"/>
        <w:tabs>
          <w:tab w:val="clear" w:pos="720"/>
          <w:tab w:val="left" w:pos="1004" w:leader="none"/>
        </w:tabs>
        <w:spacing w:lineRule="auto" w:line="360"/>
        <w:jc w:val="both"/>
        <w:rPr/>
      </w:pPr>
      <w:r>
        <w:rPr/>
        <w:t>14.16 Nenhum prazo de recebimento ocorrerá enquanto pendente a solução, pelo contratado, de inconsistências verificadas na execução do objeto ou no instrumento de cobrança.</w:t>
      </w:r>
    </w:p>
    <w:p>
      <w:pPr>
        <w:pStyle w:val="normal11"/>
        <w:tabs>
          <w:tab w:val="clear" w:pos="720"/>
          <w:tab w:val="left" w:pos="1004" w:leader="none"/>
        </w:tabs>
        <w:spacing w:lineRule="auto" w:line="360"/>
        <w:jc w:val="both"/>
        <w:rPr/>
      </w:pPr>
      <w:r>
        <w:rPr/>
        <w:t>14.17 O recebimento provisório ou definitivo não excluirá a responsabilidade civil pela solidez e pela segurança dos serviços nem a responsabilidade ético-profissional pela perfeita execução do contrato.</w:t>
      </w:r>
    </w:p>
    <w:p>
      <w:pPr>
        <w:pStyle w:val="normal11"/>
        <w:widowControl/>
        <w:tabs>
          <w:tab w:val="clear" w:pos="720"/>
          <w:tab w:val="left" w:pos="1004" w:leader="none"/>
        </w:tabs>
        <w:spacing w:lineRule="auto" w:line="360"/>
        <w:jc w:val="both"/>
        <w:rPr/>
      </w:pPr>
      <w:r>
        <w:rPr/>
      </w:r>
    </w:p>
    <w:p>
      <w:pPr>
        <w:pStyle w:val="normal11"/>
        <w:widowControl/>
        <w:tabs>
          <w:tab w:val="clear" w:pos="720"/>
          <w:tab w:val="left" w:pos="1004" w:leader="none"/>
        </w:tabs>
        <w:spacing w:lineRule="auto" w:line="360"/>
        <w:jc w:val="both"/>
        <w:rPr>
          <w:b/>
        </w:rPr>
      </w:pPr>
      <w:r>
        <w:rPr>
          <w:b/>
        </w:rPr>
        <w:t>14.18  Prazo de pagamento:</w:t>
      </w:r>
    </w:p>
    <w:p>
      <w:pPr>
        <w:pStyle w:val="normal11"/>
        <w:tabs>
          <w:tab w:val="clear" w:pos="720"/>
          <w:tab w:val="left" w:pos="1004" w:leader="none"/>
        </w:tabs>
        <w:spacing w:lineRule="auto" w:line="360"/>
        <w:jc w:val="both"/>
        <w:rPr/>
      </w:pPr>
      <w:r>
        <w:rPr/>
        <w:t>14.18.1 Os pagamentos deverão ser realizados no dia 22 do mês subsequente ao da entrega dos relatórios com as respectivas notas fiscais, de acordo com a Instrução Normativa n.º 1/SMFPO/GAB/2017;</w:t>
      </w:r>
    </w:p>
    <w:p>
      <w:pPr>
        <w:pStyle w:val="normal11"/>
        <w:tabs>
          <w:tab w:val="clear" w:pos="720"/>
          <w:tab w:val="left" w:pos="1004" w:leader="none"/>
        </w:tabs>
        <w:spacing w:lineRule="auto" w:line="360"/>
        <w:jc w:val="both"/>
        <w:rPr/>
      </w:pPr>
      <w:r>
        <w:rPr/>
        <w:t>14.18.2 No caso das datas descritas recair em feriado, final de semana ou que não seja possível o expediente público, será efetivada a ação descrita no próximo dia útil.</w:t>
      </w:r>
    </w:p>
    <w:p>
      <w:pPr>
        <w:pStyle w:val="normal11"/>
        <w:tabs>
          <w:tab w:val="clear" w:pos="720"/>
          <w:tab w:val="left" w:pos="1004" w:leader="none"/>
        </w:tabs>
        <w:spacing w:lineRule="auto" w:line="360"/>
        <w:jc w:val="both"/>
        <w:rPr/>
      </w:pPr>
      <w:r>
        <w:rPr/>
        <w:t>14.18.3 Os pagamentos serão efetuados mediante a apresentação de documentos financeiros que deverão ser entregues na Assessoria Financeira da SMS, dentro das condições exigidas pela legislação vigente, no dia 22 de cada mês, e serão pagas no dia 22 do mês subsequente; e os documentos financeiros que forem entregues na Assessoria Financeira da SMS dentro das condições exigidas pela legislação vigente até o dia 25 serão pagas no dia 25 do mês subsequente.</w:t>
      </w:r>
    </w:p>
    <w:p>
      <w:pPr>
        <w:pStyle w:val="normal11"/>
        <w:tabs>
          <w:tab w:val="clear" w:pos="720"/>
          <w:tab w:val="left" w:pos="1004" w:leader="none"/>
        </w:tabs>
        <w:spacing w:lineRule="auto" w:line="360"/>
        <w:jc w:val="both"/>
        <w:rPr/>
      </w:pPr>
      <w:r>
        <w:rPr/>
        <w:t>14.18.4 Quando do pagamento será efetuada a retenção tributária prevista na legislação aplicável.</w:t>
      </w:r>
    </w:p>
    <w:p>
      <w:pPr>
        <w:pStyle w:val="normal11"/>
        <w:tabs>
          <w:tab w:val="clear" w:pos="720"/>
          <w:tab w:val="left" w:pos="1004" w:leader="none"/>
        </w:tabs>
        <w:spacing w:lineRule="auto" w:line="360"/>
        <w:jc w:val="both"/>
        <w:rPr/>
      </w:pPr>
      <w:r>
        <w:rPr/>
        <w:t xml:space="preserve">14.18.5 Independentemente do percentual de tributo inserido na planilha, quando houver, serão retidos na fonte, quando da realização do pagamento, os percentuais estabelecidos na legislação vigente. </w:t>
      </w:r>
    </w:p>
    <w:p>
      <w:pPr>
        <w:pStyle w:val="normal11"/>
        <w:widowControl/>
        <w:tabs>
          <w:tab w:val="clear" w:pos="720"/>
          <w:tab w:val="left" w:pos="1004" w:leader="none"/>
        </w:tabs>
        <w:spacing w:lineRule="auto" w:line="360"/>
        <w:ind w:left="720"/>
        <w:jc w:val="both"/>
        <w:rPr/>
      </w:pPr>
      <w:r>
        <w:rPr/>
      </w:r>
    </w:p>
    <w:p>
      <w:pPr>
        <w:pStyle w:val="Heading1"/>
        <w:keepNext w:val="false"/>
        <w:keepLines w:val="false"/>
        <w:numPr>
          <w:ilvl w:val="0"/>
          <w:numId w:val="27"/>
        </w:numPr>
        <w:tabs>
          <w:tab w:val="clear" w:pos="720"/>
          <w:tab w:val="left" w:pos="1004" w:leader="none"/>
          <w:tab w:val="left" w:pos="1170" w:leader="none"/>
        </w:tabs>
        <w:spacing w:lineRule="auto" w:line="360" w:before="0" w:after="120"/>
        <w:ind w:hanging="1005" w:left="1170"/>
        <w:jc w:val="both"/>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MODELO DE GESTÃO DO CONTRATO</w:t>
      </w:r>
    </w:p>
    <w:p>
      <w:pPr>
        <w:pStyle w:val="normal11"/>
        <w:tabs>
          <w:tab w:val="clear" w:pos="720"/>
          <w:tab w:val="left" w:pos="1004" w:leader="none"/>
          <w:tab w:val="left" w:pos="1170" w:leader="none"/>
        </w:tabs>
        <w:spacing w:lineRule="auto" w:line="360"/>
        <w:jc w:val="both"/>
        <w:rPr/>
      </w:pPr>
      <w:r>
        <w:rPr/>
      </w:r>
    </w:p>
    <w:p>
      <w:pPr>
        <w:pStyle w:val="normal11"/>
        <w:tabs>
          <w:tab w:val="clear" w:pos="720"/>
          <w:tab w:val="left" w:pos="1004" w:leader="none"/>
          <w:tab w:val="left" w:pos="1170" w:leader="none"/>
        </w:tabs>
        <w:spacing w:lineRule="auto" w:line="360"/>
        <w:jc w:val="both"/>
        <w:rPr/>
      </w:pPr>
      <w:r>
        <w:rPr/>
        <w:t>15.1. O contrato deverá ser executado fielmente pelas partes, de acordo com as cláusulas avençadas e as normas da Lei n.º 14.133, de 2021, e cada parte responderá pelas consequências de sua inexecução total ou parcial.</w:t>
      </w:r>
    </w:p>
    <w:p>
      <w:pPr>
        <w:pStyle w:val="normal11"/>
        <w:tabs>
          <w:tab w:val="clear" w:pos="720"/>
          <w:tab w:val="left" w:pos="1004" w:leader="none"/>
          <w:tab w:val="left" w:pos="1170" w:leader="none"/>
        </w:tabs>
        <w:spacing w:lineRule="auto" w:line="360"/>
        <w:jc w:val="both"/>
        <w:rPr/>
      </w:pPr>
      <w:r>
        <w:rPr/>
        <w:t>15.2. Em caso de impedimento, ordem de paralisação ou suspensão do contrato, o cronograma de execução será prorrogado automaticamente pelo tempo correspondente, anotadas tais circunstâncias mediante simples apostila.</w:t>
      </w:r>
    </w:p>
    <w:p>
      <w:pPr>
        <w:pStyle w:val="normal11"/>
        <w:tabs>
          <w:tab w:val="clear" w:pos="720"/>
          <w:tab w:val="left" w:pos="1004" w:leader="none"/>
          <w:tab w:val="left" w:pos="1170" w:leader="none"/>
        </w:tabs>
        <w:spacing w:lineRule="auto" w:line="360"/>
        <w:jc w:val="both"/>
        <w:rPr/>
      </w:pPr>
      <w:r>
        <w:rPr/>
        <w:t>15.3.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ormal11"/>
        <w:tabs>
          <w:tab w:val="clear" w:pos="720"/>
          <w:tab w:val="left" w:pos="1004" w:leader="none"/>
          <w:tab w:val="left" w:pos="1170" w:leader="none"/>
        </w:tabs>
        <w:spacing w:lineRule="auto" w:line="360"/>
        <w:jc w:val="both"/>
        <w:rPr/>
      </w:pPr>
      <w:r>
        <w:rPr/>
        <w:t>15.4. As comunicações entre o órgão ou entidade e a contratada devem ser realizadas por escrito sempre que o ato exigir tal formalidade, admitindo-se o uso de mensagem eletrônica para esse fim.</w:t>
      </w:r>
    </w:p>
    <w:p>
      <w:pPr>
        <w:pStyle w:val="normal11"/>
        <w:tabs>
          <w:tab w:val="clear" w:pos="720"/>
          <w:tab w:val="left" w:pos="1004" w:leader="none"/>
          <w:tab w:val="left" w:pos="1170" w:leader="none"/>
        </w:tabs>
        <w:spacing w:lineRule="auto" w:line="360"/>
        <w:jc w:val="both"/>
        <w:rPr/>
      </w:pPr>
      <w:r>
        <w:rPr/>
        <w:t>15.5. O órgão ou entidade poderá convocar representante da empresa para adoção de providências que devam ser cumpridas de imediato.</w:t>
      </w:r>
    </w:p>
    <w:p>
      <w:pPr>
        <w:pStyle w:val="normal11"/>
        <w:tabs>
          <w:tab w:val="clear" w:pos="720"/>
          <w:tab w:val="left" w:pos="1004" w:leader="none"/>
          <w:tab w:val="left" w:pos="1170" w:leader="none"/>
        </w:tabs>
        <w:spacing w:lineRule="auto" w:line="360"/>
        <w:jc w:val="both"/>
        <w:rPr/>
      </w:pPr>
      <w:r>
        <w:rPr/>
        <w:t>15.6. A Contratante poderá recusar, desde que justificadamente, a indicação ou a manutenção do preposto da empresa, hipótese em que a Contratada designará outro para o exercício da atividade</w:t>
      </w:r>
    </w:p>
    <w:p>
      <w:pPr>
        <w:pStyle w:val="normal11"/>
        <w:widowControl/>
        <w:numPr>
          <w:ilvl w:val="0"/>
          <w:numId w:val="34"/>
        </w:numPr>
        <w:tabs>
          <w:tab w:val="clear" w:pos="720"/>
          <w:tab w:val="left" w:pos="1004" w:leader="none"/>
        </w:tabs>
        <w:spacing w:lineRule="auto" w:line="360"/>
        <w:jc w:val="both"/>
        <w:rPr>
          <w:rFonts w:ascii="Arial" w:hAnsi="Arial" w:eastAsia="Arial" w:cs="Arial"/>
        </w:rPr>
      </w:pPr>
      <w:r>
        <w:rPr/>
        <w:t xml:space="preserve"> </w:t>
      </w:r>
      <w:r>
        <w:rPr/>
        <w:t>A execução do contrato deverá ser acompanhada e fiscalizada pelo(s) fiscal(is) do contrato, ou pelos respectivos substitutos (</w:t>
      </w:r>
      <w:r>
        <w:rPr>
          <w:u w:val="single"/>
        </w:rPr>
        <w:t>Lei n.º 14.133, de 2021, art. 117, caput</w:t>
      </w:r>
      <w:r>
        <w:rPr/>
        <w:t>).</w:t>
      </w:r>
    </w:p>
    <w:p>
      <w:pPr>
        <w:pStyle w:val="normal11"/>
        <w:numPr>
          <w:ilvl w:val="0"/>
          <w:numId w:val="34"/>
        </w:numPr>
        <w:tabs>
          <w:tab w:val="clear" w:pos="720"/>
          <w:tab w:val="left" w:pos="1004" w:leader="none"/>
          <w:tab w:val="left" w:pos="1005" w:leader="none"/>
        </w:tabs>
        <w:spacing w:lineRule="auto" w:line="360"/>
        <w:ind w:hanging="360" w:left="1005" w:right="283"/>
        <w:jc w:val="both"/>
        <w:rPr/>
      </w:pPr>
      <w:r>
        <w:rPr/>
        <w:t>O acompanhamento e a fiscalização da execução do Contrato consistem na conformidade da execução do serviço e da alocação dos recursos necessários, de forma a assegurar o perfeito cumprimento do Contrato, e será exercido por um representante da CONTRATANTE, especialmente designado;</w:t>
      </w:r>
    </w:p>
    <w:p>
      <w:pPr>
        <w:pStyle w:val="normal11"/>
        <w:numPr>
          <w:ilvl w:val="0"/>
          <w:numId w:val="34"/>
        </w:numPr>
        <w:tabs>
          <w:tab w:val="clear" w:pos="720"/>
          <w:tab w:val="left" w:pos="1004" w:leader="none"/>
          <w:tab w:val="left" w:pos="1005" w:leader="none"/>
        </w:tabs>
        <w:spacing w:lineRule="auto" w:line="360"/>
        <w:ind w:hanging="360" w:left="1005" w:right="281"/>
        <w:jc w:val="both"/>
        <w:rPr/>
      </w:pPr>
      <w:r>
        <w:rPr/>
        <w:t>O acompanhamento do Contrato será realizado por meio de instrumentos de controle, que compreendam a mensuração dos seguintes aspectos: os resultados alcançados em relação ao contratado, com a verificação dos prazos de execução e da qualidade demandada; O cumprimento das demais obrigações decorrentes do Contrato;</w:t>
      </w:r>
    </w:p>
    <w:p>
      <w:pPr>
        <w:pStyle w:val="normal11"/>
        <w:numPr>
          <w:ilvl w:val="0"/>
          <w:numId w:val="34"/>
        </w:numPr>
        <w:tabs>
          <w:tab w:val="clear" w:pos="720"/>
          <w:tab w:val="left" w:pos="1004" w:leader="none"/>
          <w:tab w:val="left" w:pos="1005" w:leader="none"/>
        </w:tabs>
        <w:spacing w:lineRule="auto" w:line="360"/>
        <w:ind w:hanging="360" w:left="1005" w:right="281"/>
        <w:jc w:val="both"/>
        <w:rPr/>
      </w:pPr>
      <w:r>
        <w:rPr/>
        <w:t>Não se exclui a responsabilidade do ordenador de despesa (Secretário da Pasta – autoridade competente) da fiscalização do correto cumprimento do contrato firmado entre as partes;</w:t>
      </w:r>
    </w:p>
    <w:p>
      <w:pPr>
        <w:pStyle w:val="normal11"/>
        <w:numPr>
          <w:ilvl w:val="0"/>
          <w:numId w:val="34"/>
        </w:numPr>
        <w:tabs>
          <w:tab w:val="clear" w:pos="720"/>
          <w:tab w:val="left" w:pos="1004" w:leader="none"/>
          <w:tab w:val="left" w:pos="1005" w:leader="none"/>
        </w:tabs>
        <w:spacing w:lineRule="auto" w:line="360"/>
        <w:ind w:hanging="360" w:left="1005" w:right="279"/>
        <w:jc w:val="both"/>
        <w:rPr/>
      </w:pPr>
      <w:r>
        <w:rPr/>
        <w:t>Os Fiscais do Contrato terão acesso a qualquer tempo aos registros dos serviços.</w:t>
      </w:r>
    </w:p>
    <w:p>
      <w:pPr>
        <w:pStyle w:val="normal11"/>
        <w:tabs>
          <w:tab w:val="clear" w:pos="720"/>
          <w:tab w:val="left" w:pos="1004" w:leader="none"/>
        </w:tabs>
        <w:spacing w:lineRule="auto" w:line="360"/>
        <w:jc w:val="both"/>
        <w:rPr>
          <w:b/>
        </w:rPr>
      </w:pPr>
      <w:r>
        <w:rPr>
          <w:b/>
        </w:rPr>
        <w:t>15.7 Fiscalização Técnica de Obras</w:t>
      </w:r>
    </w:p>
    <w:p>
      <w:pPr>
        <w:pStyle w:val="normal11"/>
        <w:tabs>
          <w:tab w:val="clear" w:pos="720"/>
          <w:tab w:val="left" w:pos="1004" w:leader="none"/>
        </w:tabs>
        <w:spacing w:lineRule="auto" w:line="360"/>
        <w:jc w:val="both"/>
        <w:rPr/>
      </w:pPr>
      <w:r>
        <w:rPr/>
        <w:t>15.7.1 O fiscal técnico do contrato acompanhará a execução do contrato para que sejam cumpridas todas as condições estabelecidas no contrato, de modo a assegurar os melhores resultados para a Administração. (Decreto n.º 11.246, de 2022, art. 22, VI);</w:t>
      </w:r>
    </w:p>
    <w:p>
      <w:pPr>
        <w:pStyle w:val="normal11"/>
        <w:tabs>
          <w:tab w:val="clear" w:pos="720"/>
          <w:tab w:val="left" w:pos="1004" w:leader="none"/>
        </w:tabs>
        <w:spacing w:lineRule="auto" w:line="360"/>
        <w:jc w:val="both"/>
        <w:rPr/>
      </w:pPr>
      <w:r>
        <w:rPr/>
        <w:t>15.7.2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normal11"/>
        <w:tabs>
          <w:tab w:val="clear" w:pos="720"/>
          <w:tab w:val="left" w:pos="1004" w:leader="none"/>
        </w:tabs>
        <w:spacing w:lineRule="auto" w:line="360"/>
        <w:jc w:val="both"/>
        <w:rPr/>
      </w:pPr>
      <w:r>
        <w:rPr/>
        <w:t xml:space="preserve">15.7.3 Identificada qualquer inexatidão ou irregularidade, o fiscal técnico do contrato emitirá notificações para a correção da execução do contrato, determinando prazo para a correção. (Decreto n.º 11.246, de 2022, art. 22, III); </w:t>
      </w:r>
    </w:p>
    <w:p>
      <w:pPr>
        <w:pStyle w:val="normal11"/>
        <w:tabs>
          <w:tab w:val="clear" w:pos="720"/>
          <w:tab w:val="left" w:pos="1004" w:leader="none"/>
        </w:tabs>
        <w:spacing w:lineRule="auto" w:line="360"/>
        <w:jc w:val="both"/>
        <w:rPr/>
      </w:pPr>
      <w:r>
        <w:rPr/>
        <w:t>15.7.4 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pPr>
        <w:pStyle w:val="normal11"/>
        <w:tabs>
          <w:tab w:val="clear" w:pos="720"/>
          <w:tab w:val="left" w:pos="1004" w:leader="none"/>
        </w:tabs>
        <w:spacing w:lineRule="auto" w:line="360"/>
        <w:jc w:val="both"/>
        <w:rPr/>
      </w:pPr>
      <w:r>
        <w:rPr/>
        <w:t>15.7.5 No caso de ocorrências que possam inviabilizar a execução do contrato nas datas aprazadas, o fiscal técnico do contrato comunicará o fato imediatamente ao gestor do contrato. (Decreto n.º 11.246, de 2022, art. 22, V).</w:t>
      </w:r>
    </w:p>
    <w:p>
      <w:pPr>
        <w:pStyle w:val="normal11"/>
        <w:tabs>
          <w:tab w:val="clear" w:pos="720"/>
          <w:tab w:val="left" w:pos="1004" w:leader="none"/>
        </w:tabs>
        <w:spacing w:lineRule="auto" w:line="360"/>
        <w:jc w:val="both"/>
        <w:rPr/>
      </w:pPr>
      <w:r>
        <w:rPr/>
        <w:t>15.7.6 O fiscal técnico do contrato comunicará ao gestor do contrato, em tempo hábil, o término do contrato sob sua responsabilidade, com vistas à renovação tempestiva ou à prorrogação contratual (Decreto n.º 11.246, de 2022, art. 22, VII).</w:t>
      </w:r>
    </w:p>
    <w:p>
      <w:pPr>
        <w:pStyle w:val="normal11"/>
        <w:widowControl/>
        <w:tabs>
          <w:tab w:val="clear" w:pos="720"/>
          <w:tab w:val="left" w:pos="1004" w:leader="none"/>
        </w:tabs>
        <w:spacing w:lineRule="auto" w:line="360"/>
        <w:ind w:left="851"/>
        <w:jc w:val="both"/>
        <w:rPr/>
      </w:pPr>
      <w:r>
        <w:rPr/>
      </w:r>
    </w:p>
    <w:p>
      <w:pPr>
        <w:pStyle w:val="normal11"/>
        <w:tabs>
          <w:tab w:val="clear" w:pos="720"/>
          <w:tab w:val="left" w:pos="1004" w:leader="none"/>
        </w:tabs>
        <w:spacing w:lineRule="auto" w:line="360"/>
        <w:ind w:right="281"/>
        <w:jc w:val="both"/>
        <w:rPr>
          <w:b/>
        </w:rPr>
      </w:pPr>
      <w:r>
        <w:rPr>
          <w:b/>
        </w:rPr>
        <w:t>15.8  Fiscalização Administrativa</w:t>
      </w:r>
    </w:p>
    <w:p>
      <w:pPr>
        <w:pStyle w:val="normal11"/>
        <w:widowControl/>
        <w:tabs>
          <w:tab w:val="clear" w:pos="720"/>
          <w:tab w:val="left" w:pos="1004" w:leader="none"/>
        </w:tabs>
        <w:spacing w:lineRule="auto" w:line="360"/>
        <w:jc w:val="both"/>
        <w:rPr/>
      </w:pPr>
      <w:r>
        <w:rPr/>
        <w:t>15.8.1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normal11"/>
        <w:widowControl/>
        <w:tabs>
          <w:tab w:val="clear" w:pos="720"/>
          <w:tab w:val="left" w:pos="1004" w:leader="none"/>
        </w:tabs>
        <w:spacing w:lineRule="auto" w:line="360"/>
        <w:jc w:val="both"/>
        <w:rPr/>
      </w:pPr>
      <w:r>
        <w:rPr/>
        <w:t>15.8.2 Caso ocorra descumprimento das obrigações contratuais, o fiscal administrativo do contrato atuará tempestivamente na solução do problema, reportando ao gestor da pasta para que tome as providências cabíveis, quando ultrapassar a sua competência; (Decreto n.º 11.246, de 2022, art. 23, IV).</w:t>
      </w:r>
    </w:p>
    <w:p>
      <w:pPr>
        <w:pStyle w:val="normal11"/>
        <w:widowControl/>
        <w:tabs>
          <w:tab w:val="clear" w:pos="720"/>
          <w:tab w:val="left" w:pos="1004" w:leader="none"/>
        </w:tabs>
        <w:spacing w:lineRule="auto" w:line="360"/>
        <w:ind w:left="851"/>
        <w:jc w:val="both"/>
        <w:rPr/>
      </w:pPr>
      <w:r>
        <w:rPr/>
      </w:r>
    </w:p>
    <w:p>
      <w:pPr>
        <w:pStyle w:val="normal11"/>
        <w:widowControl/>
        <w:tabs>
          <w:tab w:val="clear" w:pos="720"/>
          <w:tab w:val="left" w:pos="1004" w:leader="none"/>
        </w:tabs>
        <w:spacing w:lineRule="auto" w:line="360"/>
        <w:jc w:val="both"/>
        <w:rPr>
          <w:b/>
        </w:rPr>
      </w:pPr>
      <w:r>
        <w:rPr>
          <w:b/>
        </w:rPr>
        <w:t>15.9. Gestor do Contrato:</w:t>
      </w:r>
    </w:p>
    <w:p>
      <w:pPr>
        <w:pStyle w:val="normal11"/>
        <w:widowControl/>
        <w:tabs>
          <w:tab w:val="clear" w:pos="720"/>
          <w:tab w:val="left" w:pos="1004" w:leader="none"/>
        </w:tabs>
        <w:spacing w:lineRule="auto" w:line="360"/>
        <w:jc w:val="both"/>
        <w:rPr/>
      </w:pPr>
      <w:r>
        <w:rPr/>
        <w:t>15.9.1.</w:t>
        <w:tab/>
        <w:t>O gestor do contrato coordena a atualização do processo de acompanhamento e fiscalização do contrato contendo todos os registros formais da execução 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ormal11"/>
        <w:widowControl/>
        <w:tabs>
          <w:tab w:val="clear" w:pos="720"/>
          <w:tab w:val="left" w:pos="1004" w:leader="none"/>
        </w:tabs>
        <w:spacing w:lineRule="auto" w:line="360"/>
        <w:jc w:val="both"/>
        <w:rPr/>
      </w:pPr>
      <w:r>
        <w:rPr/>
        <w:t>15.9.2.</w:t>
        <w:ta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ormal11"/>
        <w:widowControl/>
        <w:tabs>
          <w:tab w:val="clear" w:pos="720"/>
          <w:tab w:val="left" w:pos="1004" w:leader="none"/>
        </w:tabs>
        <w:spacing w:lineRule="auto" w:line="360"/>
        <w:jc w:val="both"/>
        <w:rPr/>
      </w:pPr>
      <w:r>
        <w:rPr/>
        <w:t>15.9.3.</w:t>
        <w:tab/>
        <w:t xml:space="preserve">O gestor do contrato acompanhará a manutenção das condições de habilitação da contratada, para fins de empenho de despesa e pagamento, e anotará os problemas que obstam o fluxo normal da liquidação e do pagamento da despesa no relatório de riscos eventuais. (Decreto n.º 11.246, de 2022, art. 21, III). </w:t>
      </w:r>
    </w:p>
    <w:p>
      <w:pPr>
        <w:pStyle w:val="normal11"/>
        <w:widowControl/>
        <w:tabs>
          <w:tab w:val="clear" w:pos="720"/>
          <w:tab w:val="left" w:pos="1004" w:leader="none"/>
        </w:tabs>
        <w:spacing w:lineRule="auto" w:line="360"/>
        <w:jc w:val="both"/>
        <w:rPr/>
      </w:pPr>
      <w:r>
        <w:rPr/>
        <w:t>15.9.4.</w:t>
        <w:ta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ormal11"/>
        <w:widowControl/>
        <w:tabs>
          <w:tab w:val="clear" w:pos="720"/>
          <w:tab w:val="left" w:pos="1004" w:leader="none"/>
        </w:tabs>
        <w:spacing w:lineRule="auto" w:line="360"/>
        <w:jc w:val="both"/>
        <w:rPr/>
      </w:pPr>
      <w:r>
        <w:rPr/>
        <w:t>15.9.5.</w:t>
        <w:ta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ormal11"/>
        <w:widowControl/>
        <w:tabs>
          <w:tab w:val="clear" w:pos="720"/>
          <w:tab w:val="left" w:pos="1004" w:leader="none"/>
        </w:tabs>
        <w:spacing w:lineRule="auto" w:line="360"/>
        <w:jc w:val="both"/>
        <w:rPr/>
      </w:pPr>
      <w:r>
        <w:rPr/>
        <w:t>15.9.6.</w:t>
        <w:ta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ormal11"/>
        <w:widowControl/>
        <w:tabs>
          <w:tab w:val="clear" w:pos="720"/>
          <w:tab w:val="left" w:pos="1004" w:leader="none"/>
        </w:tabs>
        <w:spacing w:lineRule="auto" w:line="360"/>
        <w:jc w:val="both"/>
        <w:rPr/>
      </w:pPr>
      <w:r>
        <w:rPr/>
        <w:t>15.9.7.</w:t>
        <w:tab/>
        <w:t>O gestor do contrato deverá enviar a documentação pertinente ao setor de contratos para a formalização dos procedimentos de liquidação e pagamento, no valor dimensionado pela fiscalização e gestão nos termos do contrato.</w:t>
      </w:r>
    </w:p>
    <w:p>
      <w:pPr>
        <w:pStyle w:val="normal11"/>
        <w:tabs>
          <w:tab w:val="clear" w:pos="720"/>
          <w:tab w:val="left" w:pos="1004" w:leader="none"/>
        </w:tabs>
        <w:spacing w:lineRule="auto" w:line="360"/>
        <w:jc w:val="both"/>
        <w:rPr/>
      </w:pPr>
      <w:r>
        <w:rPr/>
      </w:r>
    </w:p>
    <w:p>
      <w:pPr>
        <w:pStyle w:val="Heading1"/>
        <w:keepNext w:val="false"/>
        <w:keepLines w:val="false"/>
        <w:numPr>
          <w:ilvl w:val="0"/>
          <w:numId w:val="27"/>
        </w:numPr>
        <w:pBdr/>
        <w:tabs>
          <w:tab w:val="clear" w:pos="720"/>
          <w:tab w:val="left" w:pos="1004" w:leader="none"/>
          <w:tab w:val="left" w:pos="1170" w:leader="none"/>
        </w:tabs>
        <w:spacing w:lineRule="auto" w:line="360" w:before="0" w:after="120"/>
        <w:ind w:hanging="1170" w:left="1170"/>
        <w:jc w:val="both"/>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SANÇÕES</w:t>
      </w:r>
    </w:p>
    <w:p>
      <w:pPr>
        <w:pStyle w:val="Normal"/>
        <w:rPr/>
      </w:pPr>
      <w:r>
        <w:rPr/>
        <w:t>16.1.</w:t>
        <w:tab/>
        <w:t>Comete infração administrativa, nos termos da Lei n.º 14.133/2021, o CONTRATADO que:</w:t>
      </w:r>
    </w:p>
    <w:p>
      <w:pPr>
        <w:pStyle w:val="normal11"/>
        <w:spacing w:lineRule="auto" w:line="360"/>
        <w:jc w:val="both"/>
        <w:rPr/>
      </w:pPr>
      <w:r>
        <w:rPr/>
        <w:tab/>
        <w:t>a)</w:t>
        <w:tab/>
        <w:t>Der causa à inexecução parcial do contrato;</w:t>
      </w:r>
    </w:p>
    <w:p>
      <w:pPr>
        <w:pStyle w:val="normal11"/>
        <w:spacing w:lineRule="auto" w:line="360"/>
        <w:jc w:val="both"/>
        <w:rPr/>
      </w:pPr>
      <w:r>
        <w:rPr/>
        <w:tab/>
        <w:t>b)</w:t>
        <w:tab/>
        <w:t>Der causa à inexecução parcial do contrato que cause grave dano à Administração ou ao funcionamento dos serviços públicos ou ao interesse coletivo;</w:t>
      </w:r>
    </w:p>
    <w:p>
      <w:pPr>
        <w:pStyle w:val="normal11"/>
        <w:spacing w:lineRule="auto" w:line="360"/>
        <w:jc w:val="both"/>
        <w:rPr/>
      </w:pPr>
      <w:r>
        <w:rPr/>
        <w:tab/>
        <w:t>c)</w:t>
        <w:tab/>
        <w:t>Der causa à inexecução total do contrato;</w:t>
      </w:r>
    </w:p>
    <w:p>
      <w:pPr>
        <w:pStyle w:val="normal11"/>
        <w:spacing w:lineRule="auto" w:line="360"/>
        <w:jc w:val="both"/>
        <w:rPr/>
      </w:pPr>
      <w:r>
        <w:rPr/>
        <w:tab/>
        <w:t>d)</w:t>
        <w:tab/>
        <w:t>Ensejar o retardamento da execução ou da entrega do objeto da contratação sem motivo justificado;</w:t>
      </w:r>
    </w:p>
    <w:p>
      <w:pPr>
        <w:pStyle w:val="normal11"/>
        <w:spacing w:lineRule="auto" w:line="360"/>
        <w:jc w:val="both"/>
        <w:rPr/>
      </w:pPr>
      <w:r>
        <w:rPr/>
        <w:tab/>
        <w:t>e)</w:t>
        <w:tab/>
        <w:t>Apresentar documentação falsa ou prestar declaração falsa durante a execução do contrato;</w:t>
      </w:r>
    </w:p>
    <w:p>
      <w:pPr>
        <w:pStyle w:val="normal11"/>
        <w:spacing w:lineRule="auto" w:line="360"/>
        <w:jc w:val="both"/>
        <w:rPr/>
      </w:pPr>
      <w:r>
        <w:rPr/>
        <w:tab/>
        <w:t>f)</w:t>
        <w:tab/>
        <w:t>Praticar ato fraudulento na execução do contrato;</w:t>
      </w:r>
    </w:p>
    <w:p>
      <w:pPr>
        <w:pStyle w:val="normal11"/>
        <w:spacing w:lineRule="auto" w:line="360"/>
        <w:jc w:val="both"/>
        <w:rPr/>
      </w:pPr>
      <w:r>
        <w:rPr/>
        <w:tab/>
        <w:t>g)</w:t>
        <w:tab/>
        <w:t>Comportar-se de modo inidôneo ou cometer fraude de qualquer natureza;</w:t>
      </w:r>
    </w:p>
    <w:p>
      <w:pPr>
        <w:pStyle w:val="normal11"/>
        <w:spacing w:lineRule="auto" w:line="360"/>
        <w:jc w:val="both"/>
        <w:rPr/>
      </w:pPr>
      <w:r>
        <w:rPr/>
        <w:tab/>
        <w:t>h)</w:t>
        <w:tab/>
        <w:t>Praticar ato lesivo previsto no art. 5º da Lei n.º 12.846, de 1º de agosto de 2014.</w:t>
      </w:r>
    </w:p>
    <w:p>
      <w:pPr>
        <w:pStyle w:val="normal11"/>
        <w:spacing w:lineRule="auto" w:line="360"/>
        <w:jc w:val="both"/>
        <w:rPr/>
      </w:pPr>
      <w:r>
        <w:rPr/>
        <w:t>16.2.</w:t>
        <w:tab/>
        <w:t xml:space="preserve"> Serão aplicadas ao CONTRATADO que incorrer nas infrações acima descritas as seguintes sanções:</w:t>
      </w:r>
    </w:p>
    <w:p>
      <w:pPr>
        <w:pStyle w:val="normal11"/>
        <w:spacing w:lineRule="auto" w:line="360"/>
        <w:jc w:val="both"/>
        <w:rPr/>
      </w:pPr>
      <w:r>
        <w:rPr/>
        <w:tab/>
        <w:t>a)</w:t>
        <w:tab/>
        <w:t>Advertência, quando o CONTRATADO der causa à inexecução parcial do contrato, sempre que não se justificar a imposição de penalidade mais grave (Art. 156, §2º, da Lei n.º 14.133/2021);</w:t>
      </w:r>
    </w:p>
    <w:p>
      <w:pPr>
        <w:pStyle w:val="normal11"/>
        <w:spacing w:lineRule="auto" w:line="360"/>
        <w:jc w:val="both"/>
        <w:rPr/>
      </w:pPr>
      <w:r>
        <w:rPr/>
        <w:tab/>
        <w:t>b)</w:t>
        <w:tab/>
        <w:t>Impedimento de licitar e contratar, quando praticadas as condutas descritas nas alíneas “b”, “c” e “d” do subitem acima deste contrato, sempre que não se justificar a imposição de penalidade mais grave (Art. 156, § 4º, da Lei n.º 14.133/2021);</w:t>
      </w:r>
    </w:p>
    <w:p>
      <w:pPr>
        <w:pStyle w:val="normal11"/>
        <w:spacing w:lineRule="auto" w:line="360"/>
        <w:jc w:val="both"/>
        <w:rPr/>
      </w:pPr>
      <w:r>
        <w:rPr/>
        <w:tab/>
        <w:t>c)</w:t>
        <w:tab/>
        <w:t>Declaração de inidoneidade para licitar e contratar, quando praticadas as condutas descritas nas alíneas “e”, “f”, “g” e “h” do subitem acima deste contrato, bem como nas alíneas “b”, “c” e “d”, que justifiquem a imposição de penalidade mais grave (Art. 156, §5º, da Lei n.º 14.133/2021).</w:t>
      </w:r>
    </w:p>
    <w:p>
      <w:pPr>
        <w:pStyle w:val="normal11"/>
        <w:spacing w:lineRule="auto" w:line="360"/>
        <w:jc w:val="both"/>
        <w:rPr/>
      </w:pPr>
      <w:r>
        <w:rPr/>
        <w:tab/>
        <w:t>d)</w:t>
        <w:tab/>
        <w:t>Multa:</w:t>
      </w:r>
    </w:p>
    <w:p>
      <w:pPr>
        <w:pStyle w:val="normal11"/>
        <w:spacing w:lineRule="auto" w:line="360"/>
        <w:jc w:val="both"/>
        <w:rPr/>
      </w:pPr>
      <w:r>
        <w:rPr/>
        <w:tab/>
        <w:t>I.</w:t>
        <w:tab/>
        <w:t xml:space="preserve">     Moratória de 0,5% (meio por cento) por dia de atraso injustificado sobre o valor da parcela inadimplida, até o limite de 15 (quinze) dias;</w:t>
      </w:r>
    </w:p>
    <w:p>
      <w:pPr>
        <w:pStyle w:val="normal11"/>
        <w:spacing w:lineRule="auto" w:line="360"/>
        <w:jc w:val="both"/>
        <w:rPr/>
      </w:pPr>
      <w:r>
        <w:rPr/>
        <w:tab/>
        <w:t>II.</w:t>
        <w:tab/>
        <w:t>O atraso superior a 15 (quinze) dias autoriza a Administração a promover a extinção do contrato por descumprimento ou cumprimento irregular de suas cláusulas, conforme dispõe o inciso I do art. 137 da Lei n.º 14.133/2021.</w:t>
      </w:r>
    </w:p>
    <w:p>
      <w:pPr>
        <w:pStyle w:val="normal11"/>
        <w:spacing w:lineRule="auto" w:line="360"/>
        <w:jc w:val="both"/>
        <w:rPr/>
      </w:pPr>
      <w:r>
        <w:rPr/>
        <w:tab/>
        <w:t>III.</w:t>
        <w:tab/>
        <w:t>Multa compensatória de 20% (vinte por cento) sobre o valor total do contrato, no caso de inexecução total do objeto;</w:t>
      </w:r>
    </w:p>
    <w:p>
      <w:pPr>
        <w:pStyle w:val="normal11"/>
        <w:spacing w:lineRule="auto" w:line="360"/>
        <w:jc w:val="both"/>
        <w:rPr/>
      </w:pPr>
      <w:r>
        <w:rPr/>
        <w:t>16.3.</w:t>
        <w:tab/>
        <w:t>A aplicação das sanções previstas neste termo não exclui, em hipótese alguma, a obrigação de reparação integral do dano causado ao CONTRATANTE (Art. 156, §9º, da Lei n.º 14.133/2021);</w:t>
      </w:r>
    </w:p>
    <w:p>
      <w:pPr>
        <w:pStyle w:val="normal11"/>
        <w:spacing w:lineRule="auto" w:line="360"/>
        <w:jc w:val="both"/>
        <w:rPr/>
      </w:pPr>
      <w:r>
        <w:rPr/>
        <w:t>16.4.</w:t>
        <w:tab/>
        <w:t>Todas as sanções previstas neste termo poderão ser aplicadas cumulativamente com a multa (Art. 156, §7º, da Lei n.º 14.133/2021);</w:t>
      </w:r>
    </w:p>
    <w:p>
      <w:pPr>
        <w:pStyle w:val="normal11"/>
        <w:spacing w:lineRule="auto" w:line="360"/>
        <w:jc w:val="both"/>
        <w:rPr/>
      </w:pPr>
      <w:r>
        <w:rPr/>
        <w:t>16.4.1.</w:t>
        <w:tab/>
        <w:t>Antes da aplicação da multa será facultada a defesa do interessado no prazo de 15 (quinze) dias úteis, contado da data de sua intimação (Art. 157, da Lei n.º 14.133/2021);</w:t>
      </w:r>
    </w:p>
    <w:p>
      <w:pPr>
        <w:pStyle w:val="normal11"/>
        <w:spacing w:lineRule="auto" w:line="360"/>
        <w:jc w:val="both"/>
        <w:rPr/>
      </w:pPr>
      <w:r>
        <w:rPr/>
        <w:t>16.4.2.</w:t>
        <w:tab/>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pPr>
        <w:pStyle w:val="normal11"/>
        <w:spacing w:lineRule="auto" w:line="360"/>
        <w:jc w:val="both"/>
        <w:rPr/>
      </w:pPr>
      <w:r>
        <w:rPr/>
        <w:t>16.4.3.</w:t>
        <w:tab/>
        <w:t>Previamente ao encaminhamento à cobrança judicial, a multa poderá ser recolhida administrativamente no prazo máximo de 10 (dez) dias, a contar da data do recebimento da comunicação enviada pela autoridade competente.</w:t>
      </w:r>
    </w:p>
    <w:p>
      <w:pPr>
        <w:pStyle w:val="normal11"/>
        <w:spacing w:lineRule="auto" w:line="360"/>
        <w:jc w:val="both"/>
        <w:rPr/>
      </w:pPr>
      <w:r>
        <w:rPr/>
        <w:t>16.5.</w:t>
        <w:tab/>
        <w:t>A aplicação das sanções realizar-se-á em processo administrativo que assegure o contraditório e a ampla defesa ao CONTRATADO, observando-se o procedimento previsto no caput e parágrafos do art. 158 da Lei n.º 14.133/2021, para as penalidades de impedimento de licitar e contratar e de declaração de inidoneidade para licitar ou contratar;</w:t>
      </w:r>
    </w:p>
    <w:p>
      <w:pPr>
        <w:pStyle w:val="normal11"/>
        <w:spacing w:lineRule="auto" w:line="360"/>
        <w:jc w:val="both"/>
        <w:rPr/>
      </w:pPr>
      <w:r>
        <w:rPr/>
        <w:t>16.6.</w:t>
        <w:tab/>
        <w:t>Na aplicação das sanções serão considerados (Art. 156, §1º, da Lei n.º 14.133/2021):</w:t>
      </w:r>
    </w:p>
    <w:p>
      <w:pPr>
        <w:pStyle w:val="normal11"/>
        <w:spacing w:lineRule="auto" w:line="360"/>
        <w:jc w:val="both"/>
        <w:rPr/>
      </w:pPr>
      <w:r>
        <w:rPr/>
        <w:tab/>
        <w:t>a)</w:t>
        <w:tab/>
        <w:t>A natureza e a gravidade da infração cometida;</w:t>
      </w:r>
    </w:p>
    <w:p>
      <w:pPr>
        <w:pStyle w:val="normal11"/>
        <w:spacing w:lineRule="auto" w:line="360"/>
        <w:jc w:val="both"/>
        <w:rPr/>
      </w:pPr>
      <w:r>
        <w:rPr/>
        <w:tab/>
        <w:t>b)</w:t>
        <w:tab/>
        <w:t>As peculiaridades do caso concreto;</w:t>
      </w:r>
    </w:p>
    <w:p>
      <w:pPr>
        <w:pStyle w:val="normal11"/>
        <w:spacing w:lineRule="auto" w:line="360"/>
        <w:jc w:val="both"/>
        <w:rPr/>
      </w:pPr>
      <w:r>
        <w:rPr/>
        <w:tab/>
        <w:t>c)</w:t>
        <w:tab/>
        <w:t>As circunstâncias agravantes ou atenuantes;</w:t>
      </w:r>
    </w:p>
    <w:p>
      <w:pPr>
        <w:pStyle w:val="normal11"/>
        <w:spacing w:lineRule="auto" w:line="360"/>
        <w:jc w:val="both"/>
        <w:rPr/>
      </w:pPr>
      <w:r>
        <w:rPr/>
        <w:tab/>
        <w:t>d)</w:t>
        <w:tab/>
        <w:t>Os danos que dela provierem para o CONTRATANTE;</w:t>
      </w:r>
    </w:p>
    <w:p>
      <w:pPr>
        <w:pStyle w:val="normal11"/>
        <w:spacing w:lineRule="auto" w:line="360"/>
        <w:jc w:val="both"/>
        <w:rPr/>
      </w:pPr>
      <w:r>
        <w:rPr/>
        <w:tab/>
        <w:t>e)</w:t>
        <w:tab/>
        <w:t>A implantação ou o aperfeiçoamento de programa de integridade, conforme normas e orientações dos órgãos de controle.</w:t>
      </w:r>
    </w:p>
    <w:p>
      <w:pPr>
        <w:pStyle w:val="normal11"/>
        <w:spacing w:lineRule="auto" w:line="360"/>
        <w:jc w:val="both"/>
        <w:rPr/>
      </w:pPr>
      <w:r>
        <w:rPr/>
        <w:t>16.7.</w:t>
        <w:tab/>
        <w:t>Os atos previstos como infrações administrativas na Lei n.º 14.133/2021,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pPr>
        <w:pStyle w:val="normal11"/>
        <w:spacing w:lineRule="auto" w:line="360"/>
        <w:jc w:val="both"/>
        <w:rPr/>
      </w:pPr>
      <w:r>
        <w:rPr/>
        <w:t>16.8.</w:t>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pPr>
        <w:pStyle w:val="normal11"/>
        <w:spacing w:lineRule="auto" w:line="360"/>
        <w:jc w:val="both"/>
        <w:rPr/>
      </w:pPr>
      <w:r>
        <w:rPr/>
        <w:t>16.9.</w:t>
        <w:tab/>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pPr>
        <w:pStyle w:val="normal11"/>
        <w:spacing w:lineRule="auto" w:line="360"/>
        <w:jc w:val="both"/>
        <w:rPr/>
      </w:pPr>
      <w:r>
        <w:rPr/>
        <w:t>16.10.</w:t>
        <w:tab/>
        <w:t>As sanções de impedimento de licitar e contratar e declaração de inidoneidade para licitar ou contratar são passíveis de reabilitação na forma do art. 163 da Lei n.º 14.133/2021;</w:t>
      </w:r>
    </w:p>
    <w:p>
      <w:pPr>
        <w:pStyle w:val="normal11"/>
        <w:spacing w:lineRule="auto" w:line="360"/>
        <w:jc w:val="both"/>
        <w:rPr/>
      </w:pPr>
      <w:r>
        <w:rPr/>
        <w:t>16.11.</w:t>
        <w:t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pPr>
        <w:pStyle w:val="normal11"/>
        <w:tabs>
          <w:tab w:val="clear" w:pos="720"/>
          <w:tab w:val="left" w:pos="1004" w:leader="none"/>
        </w:tabs>
        <w:spacing w:lineRule="auto" w:line="360"/>
        <w:jc w:val="both"/>
        <w:rPr/>
      </w:pPr>
      <w:r>
        <w:rPr/>
      </w:r>
    </w:p>
    <w:p>
      <w:pPr>
        <w:pStyle w:val="normal11"/>
        <w:tabs>
          <w:tab w:val="clear" w:pos="720"/>
          <w:tab w:val="left" w:pos="1004" w:leader="none"/>
        </w:tabs>
        <w:spacing w:lineRule="auto" w:line="360"/>
        <w:ind w:left="285"/>
        <w:jc w:val="both"/>
        <w:rPr>
          <w:sz w:val="20"/>
          <w:szCs w:val="20"/>
        </w:rPr>
      </w:pPr>
      <w:r>
        <w:rPr/>
        <w:t>Florianópolis, 21 de agosto de 2025.</w:t>
      </w:r>
    </w:p>
    <w:p>
      <w:pPr>
        <w:pStyle w:val="normal11"/>
        <w:tabs>
          <w:tab w:val="clear" w:pos="720"/>
          <w:tab w:val="left" w:pos="1004" w:leader="none"/>
        </w:tabs>
        <w:spacing w:lineRule="auto" w:line="360"/>
        <w:jc w:val="both"/>
        <w:rPr>
          <w:sz w:val="20"/>
          <w:szCs w:val="20"/>
        </w:rPr>
      </w:pPr>
      <w:r>
        <w:rPr>
          <w:sz w:val="20"/>
          <w:szCs w:val="20"/>
        </w:rPr>
      </w:r>
    </w:p>
    <w:p>
      <w:pPr>
        <w:pStyle w:val="normal11"/>
        <w:tabs>
          <w:tab w:val="clear" w:pos="720"/>
          <w:tab w:val="left" w:pos="1004" w:leader="none"/>
        </w:tabs>
        <w:spacing w:lineRule="auto" w:line="360"/>
        <w:jc w:val="both"/>
        <w:rPr>
          <w:sz w:val="20"/>
          <w:szCs w:val="20"/>
        </w:rPr>
      </w:pPr>
      <w:r>
        <w:rPr>
          <w:sz w:val="20"/>
          <w:szCs w:val="20"/>
        </w:rPr>
      </w:r>
    </w:p>
    <w:p>
      <w:pPr>
        <w:pStyle w:val="normal11"/>
        <w:tabs>
          <w:tab w:val="clear" w:pos="720"/>
          <w:tab w:val="left" w:pos="1004" w:leader="none"/>
        </w:tabs>
        <w:spacing w:lineRule="auto" w:line="360" w:before="84" w:after="0"/>
        <w:jc w:val="both"/>
        <w:rPr>
          <w:sz w:val="20"/>
          <w:szCs w:val="20"/>
        </w:rPr>
      </w:pPr>
      <w:r>
        <w:rPr>
          <w:sz w:val="20"/>
          <w:szCs w:val="20"/>
        </w:rPr>
      </w:r>
    </w:p>
    <w:p>
      <w:pPr>
        <w:pStyle w:val="normal11"/>
        <w:tabs>
          <w:tab w:val="clear" w:pos="720"/>
          <w:tab w:val="left" w:pos="1004" w:leader="none"/>
        </w:tabs>
        <w:spacing w:lineRule="auto" w:line="19"/>
        <w:ind w:left="2942"/>
        <w:jc w:val="both"/>
        <w:rPr>
          <w:sz w:val="2"/>
          <w:szCs w:val="2"/>
        </w:rPr>
      </w:pPr>
      <w:r>
        <w:rPr>
          <w:sz w:val="2"/>
          <w:szCs w:val="2"/>
        </w:rPr>
      </w:r>
    </w:p>
    <w:p>
      <w:pPr>
        <w:pStyle w:val="Heading1"/>
        <w:keepNext w:val="false"/>
        <w:keepLines w:val="false"/>
        <w:tabs>
          <w:tab w:val="clear" w:pos="720"/>
          <w:tab w:val="left" w:pos="1004" w:leader="none"/>
        </w:tabs>
        <w:spacing w:lineRule="auto" w:line="360" w:before="113" w:after="120"/>
        <w:ind w:left="3"/>
        <w:jc w:val="center"/>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Márcia Perondi</w:t>
      </w:r>
    </w:p>
    <w:p>
      <w:pPr>
        <w:pStyle w:val="normal11"/>
        <w:tabs>
          <w:tab w:val="clear" w:pos="720"/>
          <w:tab w:val="left" w:pos="1004" w:leader="none"/>
        </w:tabs>
        <w:spacing w:lineRule="auto" w:line="360" w:before="121" w:after="0"/>
        <w:ind w:hanging="1" w:left="3189" w:right="3187"/>
        <w:jc w:val="center"/>
        <w:rPr/>
      </w:pPr>
      <w:r>
        <w:rPr/>
        <w:t>Assessora de Infraestrutura Secretaria Municipal de Saúde</w:t>
      </w:r>
    </w:p>
    <w:p>
      <w:pPr>
        <w:pStyle w:val="normal11"/>
        <w:tabs>
          <w:tab w:val="clear" w:pos="720"/>
          <w:tab w:val="left" w:pos="1004" w:leader="none"/>
        </w:tabs>
        <w:spacing w:lineRule="auto" w:line="360"/>
        <w:jc w:val="both"/>
        <w:rPr>
          <w:sz w:val="20"/>
          <w:szCs w:val="20"/>
        </w:rPr>
      </w:pPr>
      <w:r>
        <w:rPr>
          <w:sz w:val="20"/>
          <w:szCs w:val="20"/>
        </w:rPr>
      </w:r>
    </w:p>
    <w:p>
      <w:pPr>
        <w:pStyle w:val="normal11"/>
        <w:tabs>
          <w:tab w:val="clear" w:pos="720"/>
          <w:tab w:val="left" w:pos="1004" w:leader="none"/>
        </w:tabs>
        <w:spacing w:lineRule="auto" w:line="360"/>
        <w:jc w:val="both"/>
        <w:rPr>
          <w:sz w:val="20"/>
          <w:szCs w:val="20"/>
        </w:rPr>
      </w:pPr>
      <w:r>
        <w:rPr>
          <w:sz w:val="20"/>
          <w:szCs w:val="20"/>
        </w:rPr>
      </w:r>
    </w:p>
    <w:p>
      <w:pPr>
        <w:pStyle w:val="normal11"/>
        <w:tabs>
          <w:tab w:val="clear" w:pos="720"/>
          <w:tab w:val="left" w:pos="1004" w:leader="none"/>
        </w:tabs>
        <w:spacing w:lineRule="auto" w:line="360"/>
        <w:jc w:val="both"/>
        <w:rPr>
          <w:sz w:val="20"/>
          <w:szCs w:val="20"/>
        </w:rPr>
      </w:pPr>
      <w:r>
        <w:rPr>
          <w:sz w:val="20"/>
          <w:szCs w:val="20"/>
        </w:rPr>
      </w:r>
      <w:bookmarkStart w:id="6" w:name="_heading=h.m2pp32z719xi"/>
      <w:bookmarkStart w:id="7" w:name="_heading=h.m2pp32z719xi"/>
      <w:bookmarkEnd w:id="7"/>
    </w:p>
    <w:p>
      <w:pPr>
        <w:pStyle w:val="normal11"/>
        <w:tabs>
          <w:tab w:val="clear" w:pos="720"/>
          <w:tab w:val="left" w:pos="1004" w:leader="none"/>
        </w:tabs>
        <w:spacing w:lineRule="auto" w:line="360" w:before="56" w:after="0"/>
        <w:jc w:val="both"/>
        <w:rPr>
          <w:sz w:val="20"/>
          <w:szCs w:val="20"/>
        </w:rPr>
      </w:pPr>
      <w:r>
        <w:rPr>
          <w:sz w:val="20"/>
          <w:szCs w:val="20"/>
        </w:rPr>
      </w:r>
    </w:p>
    <w:p>
      <w:pPr>
        <w:pStyle w:val="normal11"/>
        <w:tabs>
          <w:tab w:val="clear" w:pos="720"/>
          <w:tab w:val="left" w:pos="1004" w:leader="none"/>
        </w:tabs>
        <w:spacing w:lineRule="auto" w:line="360" w:before="126" w:after="0"/>
        <w:ind w:firstLine="120" w:left="1957" w:right="1156"/>
        <w:jc w:val="both"/>
        <w:rPr>
          <w:rFonts w:ascii="Arial" w:hAnsi="Arial" w:eastAsia="Arial" w:cs="Arial"/>
          <w:b/>
        </w:rPr>
      </w:pPr>
      <w:r>
        <w:rPr>
          <w:b/>
        </w:rPr>
        <w:t>Identificação e assinatura da autoridade competente APROVO O PRESENTE TERMO DE REFERÊNCIA</w:t>
      </w:r>
    </w:p>
    <w:p>
      <w:pPr>
        <w:pStyle w:val="normal11"/>
        <w:widowControl/>
        <w:spacing w:lineRule="auto" w:line="360"/>
        <w:ind w:hanging="1"/>
        <w:jc w:val="center"/>
        <w:rPr>
          <w:rFonts w:ascii="Arial" w:hAnsi="Arial" w:eastAsia="Arial" w:cs="Arial"/>
          <w:b/>
        </w:rPr>
      </w:pPr>
      <w:r>
        <w:rPr>
          <w:rFonts w:eastAsia="Arial" w:cs="Arial" w:ascii="Arial" w:hAnsi="Arial"/>
          <w:b/>
        </w:rPr>
      </w:r>
      <w:r>
        <w:br w:type="page"/>
      </w:r>
    </w:p>
    <w:p>
      <w:pPr>
        <w:pStyle w:val="normal11"/>
        <w:widowControl/>
        <w:spacing w:lineRule="auto" w:line="360" w:before="0" w:after="0"/>
        <w:ind w:hanging="1"/>
        <w:jc w:val="center"/>
        <w:rPr>
          <w:rFonts w:ascii="Arial" w:hAnsi="Arial" w:eastAsia="Arial" w:cs="Arial"/>
          <w:b/>
        </w:rPr>
      </w:pPr>
      <w:r>
        <w:rPr>
          <w:rFonts w:eastAsia="Arial" w:cs="Arial" w:ascii="Arial" w:hAnsi="Arial"/>
          <w:b/>
        </w:rPr>
        <w:t>ANEXO II - MINUTA DO CONTRATO</w:t>
      </w:r>
    </w:p>
    <w:p>
      <w:pPr>
        <w:pStyle w:val="normal11"/>
        <w:widowControl/>
        <w:spacing w:lineRule="auto" w:line="360"/>
        <w:ind w:hanging="1"/>
        <w:rPr>
          <w:rFonts w:ascii="Arial" w:hAnsi="Arial" w:eastAsia="Arial" w:cs="Arial"/>
          <w:b/>
          <w:color w:val="FF0000"/>
        </w:rPr>
      </w:pPr>
      <w:r>
        <w:rPr>
          <w:rFonts w:eastAsia="Arial" w:cs="Arial" w:ascii="Arial" w:hAnsi="Arial"/>
          <w:b/>
          <w:color w:val="FF0000"/>
        </w:rPr>
      </w:r>
    </w:p>
    <w:p>
      <w:pPr>
        <w:pStyle w:val="normal11"/>
        <w:widowControl/>
        <w:spacing w:lineRule="auto" w:line="360"/>
        <w:ind w:hanging="1"/>
        <w:jc w:val="both"/>
        <w:rPr>
          <w:rFonts w:ascii="Arial" w:hAnsi="Arial" w:eastAsia="Arial" w:cs="Arial"/>
        </w:rPr>
      </w:pPr>
      <w:r>
        <w:rPr>
          <w:rFonts w:eastAsia="Arial" w:cs="Arial" w:ascii="Arial" w:hAnsi="Arial"/>
        </w:rPr>
      </w:r>
    </w:p>
    <w:p>
      <w:pPr>
        <w:pStyle w:val="normal11"/>
        <w:widowControl/>
        <w:spacing w:lineRule="auto" w:line="360"/>
        <w:ind w:left="2267"/>
        <w:jc w:val="both"/>
        <w:rPr>
          <w:rFonts w:ascii="Arial" w:hAnsi="Arial" w:eastAsia="Arial" w:cs="Arial"/>
          <w:b/>
        </w:rPr>
      </w:pPr>
      <w:r>
        <w:rPr>
          <w:rFonts w:eastAsia="Arial" w:cs="Arial" w:ascii="Arial" w:hAnsi="Arial"/>
          <w:b/>
        </w:rPr>
        <w:t xml:space="preserve">CONTRATO ADMINISTRATIVO N.º......../...., QUE FAZEM ENTRE SI A PREFEITURA MUNICIPAL DE FLORIANÓPOLIS, POR INTERMÉDIO DO (A) ......................................................... E ......................................................... </w:t>
      </w:r>
    </w:p>
    <w:p>
      <w:pPr>
        <w:pStyle w:val="normal11"/>
        <w:widowControl/>
        <w:spacing w:lineRule="auto" w:line="360"/>
        <w:ind w:hanging="1"/>
        <w:jc w:val="both"/>
        <w:rPr>
          <w:rFonts w:ascii="Arial" w:hAnsi="Arial" w:eastAsia="Arial" w:cs="Arial"/>
        </w:rPr>
      </w:pPr>
      <w:r>
        <w:rPr>
          <w:rFonts w:eastAsia="Arial" w:cs="Arial" w:ascii="Arial" w:hAnsi="Arial"/>
        </w:rPr>
        <w:t xml:space="preserve">A PREFEITURA MUNICIPAL DE FLORIANÓPOLIS por intermédio do(a) ....................................(órgão </w:t>
      </w:r>
      <w:r>
        <w:rPr>
          <w:rFonts w:eastAsia="Arial" w:cs="Arial" w:ascii="Arial" w:hAnsi="Arial"/>
          <w:b/>
        </w:rPr>
        <w:t>CONTRATANTE</w:t>
      </w:r>
      <w:r>
        <w:rPr>
          <w:rFonts w:eastAsia="Arial" w:cs="Arial" w:ascii="Arial" w:hAnsi="Arial"/>
        </w:rPr>
        <w:t xml:space="preserve">), com sede no(a) ....................................................., na cidade de ...................................... /Estado ..., inscrito(a) no CNPJ sob o n.º ................................, neste ato representado(a) pelo(a) ......................... (cargo e nome), nomeado(a) pela Portaria n.º ......, de .....de..................... de 20..., publicada no DOU de .....de............... de ..........., portador da Matrícula Funcional n.º .........., doravante denominado </w:t>
      </w:r>
      <w:r>
        <w:rPr>
          <w:rFonts w:eastAsia="Arial" w:cs="Arial" w:ascii="Arial" w:hAnsi="Arial"/>
          <w:b/>
        </w:rPr>
        <w:t>CONTRATANTE</w:t>
      </w:r>
      <w:r>
        <w:rPr>
          <w:rFonts w:eastAsia="Arial" w:cs="Arial" w:ascii="Arial" w:hAnsi="Arial"/>
        </w:rPr>
        <w:t xml:space="preserve">, e o(a) ..............................,inscrito(a) no CNPJ/MF sob o n.º ............................, sediado(a) na..................................., em.............................doravante designado </w:t>
      </w:r>
      <w:r>
        <w:rPr>
          <w:rFonts w:eastAsia="Arial" w:cs="Arial" w:ascii="Arial" w:hAnsi="Arial"/>
          <w:b/>
        </w:rPr>
        <w:t>CONTRATADO</w:t>
      </w:r>
      <w:r>
        <w:rPr>
          <w:rFonts w:eastAsia="Arial" w:cs="Arial" w:ascii="Arial" w:hAnsi="Arial"/>
        </w:rPr>
        <w:t xml:space="preserve">, neste ato representado(a) por.................................. (nome e função do </w:t>
      </w:r>
      <w:r>
        <w:rPr>
          <w:rFonts w:eastAsia="Arial" w:cs="Arial" w:ascii="Arial" w:hAnsi="Arial"/>
          <w:b/>
        </w:rPr>
        <w:t>CONTRATADO</w:t>
      </w:r>
      <w:r>
        <w:rPr>
          <w:rFonts w:eastAsia="Arial" w:cs="Arial" w:ascii="Arial" w:hAnsi="Arial"/>
        </w:rPr>
        <w:t xml:space="preserve">), conforme atos constitutivos da empresa </w:t>
      </w:r>
      <w:r>
        <w:rPr>
          <w:rFonts w:eastAsia="Arial" w:cs="Arial" w:ascii="Arial" w:hAnsi="Arial"/>
          <w:b/>
        </w:rPr>
        <w:t xml:space="preserve">OU </w:t>
      </w:r>
      <w:r>
        <w:rPr>
          <w:rFonts w:eastAsia="Arial" w:cs="Arial" w:ascii="Arial" w:hAnsi="Arial"/>
        </w:rPr>
        <w:t>procuração apresentada nos autos, tendo em vista o que consta no Processo n.º.............................. e em observância às disposições da Lei n.º 14.133, de 1º de abril de 2021, e demais legislação aplicável, resolvem celebrar o presente Termo de Contrato, decorrente do ...................... n.º .../..., mediante as cláusulas e condições a seguir enunciadas.</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PRIMEIRA – OBJETO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Constitui objeto do presente Contrato a execução de serviço(s) </w:t>
      </w:r>
      <w:r>
        <w:rPr>
          <w:rFonts w:eastAsia="Arial" w:cs="Arial" w:ascii="Arial" w:hAnsi="Arial"/>
          <w:b/>
        </w:rPr>
        <w:t>comuns de engenharia</w:t>
      </w:r>
      <w:r>
        <w:rPr>
          <w:rFonts w:eastAsia="Arial" w:cs="Arial" w:ascii="Arial" w:hAnsi="Arial"/>
        </w:rPr>
        <w:t xml:space="preserve"> de ............................................, município de Florianópolis/SC, conforme planilha de custos (Anexo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Vinculam esta contratação, independentemente de transcrição: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O Termo de Referência;</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O Edital da Licitação;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Proposta do </w:t>
      </w:r>
      <w:r>
        <w:rPr>
          <w:rFonts w:eastAsia="Arial" w:cs="Arial" w:ascii="Arial" w:hAnsi="Arial"/>
          <w:b/>
        </w:rPr>
        <w:t>CONTRATADO</w:t>
      </w:r>
      <w:r>
        <w:rPr>
          <w:rFonts w:eastAsia="Arial" w:cs="Arial" w:ascii="Arial" w:hAnsi="Arial"/>
        </w:rPr>
        <w:t>;</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Eventuais anexos dos documentos supracitados.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Em caso de divergência ou duplicidade em relação aos elementos técnicos instrutores, prevalecerá na execução do objeto do contrato a seguinte ordem de prioridade:</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Projetos arquitetônico e complementares, especificações e memoriais descritivos e demais elementos técnicos pertinentes a cada caso;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Planilha de quantidades de serviços;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Nos projetos prevalecerão os elementos de maior detalhamento;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planilha de quantidades e serviços será orientativa, devendo o </w:t>
      </w:r>
      <w:r>
        <w:rPr>
          <w:rFonts w:eastAsia="Arial" w:cs="Arial" w:ascii="Arial" w:hAnsi="Arial"/>
          <w:b/>
        </w:rPr>
        <w:t xml:space="preserve">CONTRATADO </w:t>
      </w:r>
      <w:r>
        <w:rPr>
          <w:rFonts w:eastAsia="Arial" w:cs="Arial" w:ascii="Arial" w:hAnsi="Arial"/>
        </w:rPr>
        <w:t>tomar por base o(s) projeto(s) constante(s) e os anexos do instrumento convocatório, desde o momento da efetivação de sua proposta no procedimento licitatório até a execução do objeto;</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SEGUNDA – MODELOS DE EXECUÇÃO E GESTÃO CONTRATUAIS (Art. 92, IV, VII e XVIII,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 regime de execução contratual, os modelos de gestão e de execução, assim como os prazos e condições de conclusão e entrega, observarão o recebimento do objeto que consta no Termo de Referência, anexo a este Contrato.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regime de execução é o </w:t>
      </w:r>
      <w:r>
        <w:rPr>
          <w:rFonts w:eastAsia="Arial" w:cs="Arial" w:ascii="Arial" w:hAnsi="Arial"/>
          <w:i/>
        </w:rPr>
        <w:t>de empreitada por preço unitário.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No caso de empreitada por preço global com critério de julgamento por menor preço, a diferença entre cada preço unitário e seu respectivo preço estimado pela Administração não pode ultrapassar 25%, para mais ou para menos, sob pena de caracterizar sobrepreço ou preço inexequível, respectivamente.</w:t>
      </w:r>
    </w:p>
    <w:p>
      <w:pPr>
        <w:pStyle w:val="normal11"/>
        <w:widowControl/>
        <w:numPr>
          <w:ilvl w:val="0"/>
          <w:numId w:val="4"/>
        </w:numPr>
        <w:spacing w:lineRule="auto" w:line="360" w:before="200" w:after="200"/>
        <w:jc w:val="both"/>
        <w:rPr>
          <w:rFonts w:ascii="Arial" w:hAnsi="Arial" w:eastAsia="Arial" w:cs="Arial"/>
          <w:b/>
        </w:rPr>
      </w:pPr>
      <w:r>
        <w:rPr>
          <w:rFonts w:eastAsia="Arial" w:cs="Arial" w:ascii="Arial" w:hAnsi="Arial"/>
          <w:b/>
        </w:rPr>
        <w:t xml:space="preserve">CLÁUSULA TERCEIRA – PREÇO </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O valor total da contratação é de R$.......... (valor por extenso).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O valor acima é meramente estimativo, de forma que os pagamentos devidos ao </w:t>
      </w:r>
      <w:r>
        <w:rPr>
          <w:rFonts w:eastAsia="Arial" w:cs="Arial" w:ascii="Arial" w:hAnsi="Arial"/>
          <w:b/>
          <w:i/>
        </w:rPr>
        <w:t xml:space="preserve">CONTRATADO </w:t>
      </w:r>
      <w:r>
        <w:rPr>
          <w:rFonts w:eastAsia="Arial" w:cs="Arial" w:ascii="Arial" w:hAnsi="Arial"/>
          <w:i/>
        </w:rPr>
        <w:t>dependerão dos quantitativos efetivamente fornecidos.</w:t>
      </w:r>
    </w:p>
    <w:p>
      <w:pPr>
        <w:pStyle w:val="normal11"/>
        <w:widowControl/>
        <w:numPr>
          <w:ilvl w:val="0"/>
          <w:numId w:val="4"/>
        </w:numPr>
        <w:spacing w:lineRule="auto" w:line="360" w:before="200" w:after="200"/>
        <w:jc w:val="both"/>
        <w:rPr>
          <w:rFonts w:ascii="Arial" w:hAnsi="Arial" w:eastAsia="Arial" w:cs="Arial"/>
          <w:b/>
        </w:rPr>
      </w:pPr>
      <w:r>
        <w:rPr>
          <w:rFonts w:eastAsia="Arial" w:cs="Arial" w:ascii="Arial" w:hAnsi="Arial"/>
          <w:b/>
        </w:rPr>
        <w:t>CLÁUSULA QUARTA – CONDIÇÕES DE PAGAMENTO (Art. 92, V e VI,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As medições dos serviços efetivamente realizados serão medidas entre os dias primeiro e último de cada mês, com exceção da primeira e última que poderão ser fracionadas pelo </w:t>
      </w:r>
      <w:r>
        <w:rPr>
          <w:rFonts w:eastAsia="Arial" w:cs="Arial" w:ascii="Arial" w:hAnsi="Arial"/>
          <w:b/>
        </w:rPr>
        <w:t>CONTRATANTE</w:t>
      </w:r>
      <w:r>
        <w:rPr>
          <w:rFonts w:eastAsia="Arial" w:cs="Arial" w:ascii="Arial" w:hAnsi="Arial"/>
        </w:rPr>
        <w:t>, devendo constar da folha de medição o período efetivo da realização dos serviços.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As medições serão elaboradas com base nos quantitativos e preços unitários constantes da proposta do </w:t>
      </w:r>
      <w:r>
        <w:rPr>
          <w:rFonts w:eastAsia="Arial" w:cs="Arial" w:ascii="Arial" w:hAnsi="Arial"/>
          <w:b/>
        </w:rPr>
        <w:t>CONTRATADO</w:t>
      </w:r>
      <w:r>
        <w:rPr>
          <w:rFonts w:eastAsia="Arial" w:cs="Arial" w:ascii="Arial" w:hAnsi="Arial"/>
        </w:rPr>
        <w:t>.</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 pagamento de nenhuma etapa da execução do cronograma físico-financeiro pode exceder 20% do valor global de referência.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Os  pagamentos deverão ser realizados no dia 22 do mês subsequente ao da entrega dos relatórios com as respectivas notas fiscais, de acordo com a Instrução Normativa n.º 1/SMFPO/GAB/2017;</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No caso das datas descritas recair em feriado, final de semana ou que não seja possível o expediente público, será efetivada a ação descrita no próximo dia útil;</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Os pagamentos serão efetuados mediante a apresentação de documentos financeiros que deverão ser entregues na Diretoria Financeira da SMF, dentro das condições exigidas pela legislação vigente, no dia 22 de cada mês, e serão pagas no dia 22 do mês subsequente;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 parcela fonte da obra considerada incompleta, defeituosa ou fora das especificações do projeto, assim como das normas técnicas, não será objeto de medição.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No que se refere à retenção do imposto de renda na fonte, o município de Florianópolis aplicará o disposto no Decreto municipal n.º 23.946/2022 e na Instrução Normativa n.º 002/SMF/2022, de 05/05/2023 que regulamentam a matéria em função da Decisão do Supremo Tribunal Federal no Recurso Extraordinário n.º 1.293.453/RS, Tema 1130, com repercussão geral.</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QUINTA – REAJUSTE (Art. 92, V,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Os preços inicialmente contratados são fixos e irreajustáveis no prazo de um ano contado da data do orçamento estimado.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O orçamento estimado pela Secretaria Municipal de Saúde baseou-se nas planilhas referenciais [elaboradas com base no SINAPI (SICRO) do mês xxxx do ano de yyyy] OU [datadas de____/ _____/____].</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Após o interregno de um ano, e independentemente de pedido do </w:t>
      </w:r>
      <w:r>
        <w:rPr>
          <w:rFonts w:eastAsia="Arial" w:cs="Arial" w:ascii="Arial" w:hAnsi="Arial"/>
          <w:b/>
        </w:rPr>
        <w:t>CONTRATADO</w:t>
      </w:r>
      <w:r>
        <w:rPr>
          <w:rFonts w:eastAsia="Arial" w:cs="Arial" w:ascii="Arial" w:hAnsi="Arial"/>
        </w:rPr>
        <w:t xml:space="preserve">,os preços iniciais serão reajustados, mediante a aplicação, pelo </w:t>
      </w:r>
      <w:r>
        <w:rPr>
          <w:rFonts w:eastAsia="Arial" w:cs="Arial" w:ascii="Arial" w:hAnsi="Arial"/>
          <w:b/>
        </w:rPr>
        <w:t>CONTRATANTE</w:t>
      </w:r>
      <w:r>
        <w:rPr>
          <w:rFonts w:eastAsia="Arial" w:cs="Arial" w:ascii="Arial" w:hAnsi="Arial"/>
        </w:rPr>
        <w:t>, do índice ___________ (indicar o índice a ser adotado), exclusivamente para as obrigações iniciadas e concluídas após a ocorrência da anualidade.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Nos reajustes subsequentes ao primeiro, o interregno mínimo de um ano será contado a partir dos efeitos financeiros do último reajuste.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No caso de atraso ou não divulgação do(s) índice (s) de reajustamento, o </w:t>
      </w:r>
      <w:r>
        <w:rPr>
          <w:rFonts w:eastAsia="Arial" w:cs="Arial" w:ascii="Arial" w:hAnsi="Arial"/>
          <w:b/>
        </w:rPr>
        <w:t xml:space="preserve">CONTRATANTE </w:t>
      </w:r>
      <w:r>
        <w:rPr>
          <w:rFonts w:eastAsia="Arial" w:cs="Arial" w:ascii="Arial" w:hAnsi="Arial"/>
        </w:rPr>
        <w:t xml:space="preserve">pagará ao </w:t>
      </w:r>
      <w:r>
        <w:rPr>
          <w:rFonts w:eastAsia="Arial" w:cs="Arial" w:ascii="Arial" w:hAnsi="Arial"/>
          <w:b/>
        </w:rPr>
        <w:t xml:space="preserve">CONTRATADO </w:t>
      </w:r>
      <w:r>
        <w:rPr>
          <w:rFonts w:eastAsia="Arial" w:cs="Arial" w:ascii="Arial" w:hAnsi="Arial"/>
        </w:rPr>
        <w:t xml:space="preserve">a importância calculada pela última variação conhecida, mediante solicitação do </w:t>
      </w:r>
      <w:r>
        <w:rPr>
          <w:rFonts w:eastAsia="Arial" w:cs="Arial" w:ascii="Arial" w:hAnsi="Arial"/>
          <w:b/>
        </w:rPr>
        <w:t xml:space="preserve">CONTRATADO </w:t>
      </w:r>
      <w:r>
        <w:rPr>
          <w:rFonts w:eastAsia="Arial" w:cs="Arial" w:ascii="Arial" w:hAnsi="Arial"/>
        </w:rPr>
        <w:t xml:space="preserve">a diferença correspondente tão logo seja(m) divulgado(s) o(s) índice(s) definitivo(s). </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Fica o </w:t>
      </w:r>
      <w:r>
        <w:rPr>
          <w:rFonts w:eastAsia="Arial" w:cs="Arial" w:ascii="Arial" w:hAnsi="Arial"/>
          <w:b/>
          <w:i/>
        </w:rPr>
        <w:t xml:space="preserve">CONTRATADO </w:t>
      </w:r>
      <w:r>
        <w:rPr>
          <w:rFonts w:eastAsia="Arial" w:cs="Arial" w:ascii="Arial" w:hAnsi="Arial"/>
          <w:i/>
        </w:rPr>
        <w:t>obrigado a apresentar memória de cálculo referente ao reajustamento de preços do valor remanescente, sempre que este ocorrer.</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Nas aferições finais, o(s) índice(s) utilizado(s) para reajuste será(ão), obrigatoriamente, o(s) definitivo(s).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Caso o(s) índice(s) estabelecido(s) para reajustamento venha(m) a ser extinto(s) ou de qualquer forma não possa(m) mais ser utilizado(s), será(ão) adotado(s), em substituição, o(s) que vier(em) a ser determinado(s) pela legislação então em vigor.</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Na ausência de previsão legal quanto ao índice substituto, as partes elegerão novo índice oficial, para reajustamento do preço do valor remanescente, por meio de termo aditivo.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 reajuste será realizado por termo aditivo.</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SEXTA – ALTERAÇÕES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Eventuais alterações contratuais reger-se-ão pela disciplina dos art. 124 e seguintes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w:t>
      </w:r>
      <w:r>
        <w:rPr>
          <w:rFonts w:eastAsia="Arial" w:cs="Arial" w:ascii="Arial" w:hAnsi="Arial"/>
          <w:b/>
        </w:rPr>
        <w:t xml:space="preserve">CONTRATADO </w:t>
      </w:r>
      <w:r>
        <w:rPr>
          <w:rFonts w:eastAsia="Arial" w:cs="Arial" w:ascii="Arial" w:hAnsi="Arial"/>
        </w:rPr>
        <w:t>é obrigado a aceitar, nas mesmas condições contratuais, os acréscimos ou supressões que se fizerem necessários, até o limite de 25% (vinte e cinco por cento) do valor inicial atualizado do contrato.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Registros que não caracterizam alteração do contrato podem ser realizados por simples apostila, dispensada a celebração de termo aditivo, na forma do art. 136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 diferença percentual entre o valor global do contrato e o preço global de referência não poderá ser reduzida em favor do contratado em decorrência de aditamentos que modifiquem a planilha orçamentária, conforme art. 14 do Decreto Federal n° 7.983/2013.</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SÉTIMA – DO PRAZO DE EXECUÇÃO E DE VIGÊNCIA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 prazo de execução do objeto é de xxx (xxx) [dias] ou [meses] corridos, contados a partir da data estabelecida na Ordem de Serviço para início da execução do serviço.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 </w:t>
      </w:r>
      <w:r>
        <w:rPr>
          <w:rFonts w:eastAsia="Arial" w:cs="Arial" w:ascii="Arial" w:hAnsi="Arial"/>
        </w:rPr>
        <w:t>A vigência do contrato se inicia com a publicação do contrato e é de xxx (xxx) [dias] ou [meses].</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O prazo de vigência será automaticamente prorrogado, independentemente de termo aditivo, quando o objeto não for concluído no período firmado acima, ressalvadas as providências cabíveis no caso de culpa do </w:t>
      </w:r>
      <w:r>
        <w:rPr>
          <w:rFonts w:eastAsia="Arial" w:cs="Arial" w:ascii="Arial" w:hAnsi="Arial"/>
          <w:b/>
          <w:i/>
        </w:rPr>
        <w:t>CONTRATADO</w:t>
      </w:r>
      <w:r>
        <w:rPr>
          <w:rFonts w:eastAsia="Arial" w:cs="Arial" w:ascii="Arial" w:hAnsi="Arial"/>
          <w:i/>
        </w:rPr>
        <w:t>, previstas neste instrumento.</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Quando a não conclusão decorrer de culpa do </w:t>
      </w:r>
      <w:r>
        <w:rPr>
          <w:rFonts w:eastAsia="Arial" w:cs="Arial" w:ascii="Arial" w:hAnsi="Arial"/>
          <w:b/>
          <w:i/>
        </w:rPr>
        <w:t>CONTRATADO</w:t>
      </w:r>
      <w:r>
        <w:rPr>
          <w:rFonts w:eastAsia="Arial" w:cs="Arial" w:ascii="Arial" w:hAnsi="Arial"/>
          <w:i/>
        </w:rPr>
        <w:t>:</w:t>
      </w:r>
    </w:p>
    <w:p>
      <w:pPr>
        <w:pStyle w:val="normal11"/>
        <w:widowControl/>
        <w:numPr>
          <w:ilvl w:val="3"/>
          <w:numId w:val="4"/>
        </w:numPr>
        <w:spacing w:lineRule="auto" w:line="360"/>
        <w:ind w:firstLine="697" w:left="850"/>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CONTRATADO </w:t>
      </w:r>
      <w:r>
        <w:rPr>
          <w:rFonts w:eastAsia="Arial" w:cs="Arial" w:ascii="Arial" w:hAnsi="Arial"/>
          <w:i/>
        </w:rPr>
        <w:t>será constituído em mora, aplicáveis a ele as respectivas sanções administrativas;</w:t>
      </w:r>
    </w:p>
    <w:p>
      <w:pPr>
        <w:pStyle w:val="normal11"/>
        <w:widowControl/>
        <w:numPr>
          <w:ilvl w:val="3"/>
          <w:numId w:val="4"/>
        </w:numPr>
        <w:spacing w:lineRule="auto" w:line="360"/>
        <w:ind w:firstLine="697" w:left="850"/>
        <w:jc w:val="both"/>
        <w:rPr>
          <w:rFonts w:ascii="Arial" w:hAnsi="Arial" w:eastAsia="Arial" w:cs="Arial"/>
          <w:i/>
          <w:i/>
        </w:rPr>
      </w:pPr>
      <w:r>
        <w:rPr>
          <w:rFonts w:eastAsia="Arial" w:cs="Arial" w:ascii="Arial" w:hAnsi="Arial"/>
          <w:i/>
        </w:rPr>
        <w:t>A Administração poderá optar pela extinção do contrato e, nesse caso, adotará as medidas admitidas em lei para a continuidade da execução contratual.</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Os contratos terão eficácia a partir de sua  publicação na imprensa oficial.</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Exceção se aplica aos contratos emergenciais, os quais, conforme o §1º do art. 94 da Lei nº 14.133/21, terão eficácia a partir de sua assinatura e deverão ser publicados nos prazos previstos nos incisos I e II do caput deste artigo, sob pena de nulidade.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w:t>
      </w:r>
      <w:r>
        <w:rPr>
          <w:rFonts w:eastAsia="Arial" w:cs="Arial" w:ascii="Arial" w:hAnsi="Arial"/>
          <w:b/>
        </w:rPr>
        <w:t xml:space="preserve">CONTRATADO </w:t>
      </w:r>
      <w:r>
        <w:rPr>
          <w:rFonts w:eastAsia="Arial" w:cs="Arial" w:ascii="Arial" w:hAnsi="Arial"/>
        </w:rPr>
        <w:t>não tem direito subjetivo à prorrogação contratual.</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 prorrogação de contrato deverá ser promovida mediante celebração de termo aditivo.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Nas eventuais prorrogações contratuais, os custos não renováveis já pagos ou amortizados ao longo do primeiro período de vigência da contratação deverão ser reduzidos ou eliminados como condição para a renovação.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contrato não poderá ser prorrogado quando o </w:t>
      </w:r>
      <w:r>
        <w:rPr>
          <w:rFonts w:eastAsia="Arial" w:cs="Arial" w:ascii="Arial" w:hAnsi="Arial"/>
          <w:b/>
        </w:rPr>
        <w:t xml:space="preserve">CONTRATADO </w:t>
      </w:r>
      <w:r>
        <w:rPr>
          <w:rFonts w:eastAsia="Arial" w:cs="Arial" w:ascii="Arial" w:hAnsi="Arial"/>
        </w:rPr>
        <w:t>tiver sido penalizado nas sanções de declaração de inidoneidade ou impedimento de licitar e contratar com poder público, observadas as abrangências de aplicação.</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OITAVA – SUBCONTRATAÇÃO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É permitida a subcontratação parcial do objeto, até o limite de ......% (..... por cento) do valor total do contrato, nas seguintes condições:</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É vedada a subcontratação completa ou da parcela principal da obrigação, abaixo discriminada:</w:t>
      </w:r>
    </w:p>
    <w:p>
      <w:pPr>
        <w:pStyle w:val="normal11"/>
        <w:widowControl/>
        <w:spacing w:lineRule="auto" w:line="360"/>
        <w:jc w:val="both"/>
        <w:rPr>
          <w:rFonts w:ascii="Arial" w:hAnsi="Arial" w:eastAsia="Arial" w:cs="Arial"/>
          <w:i/>
          <w:i/>
        </w:rPr>
      </w:pPr>
      <w:r>
        <w:rPr>
          <w:rFonts w:eastAsia="Arial" w:cs="Arial" w:ascii="Arial" w:hAnsi="Arial"/>
          <w:i/>
        </w:rPr>
        <w:t>...</w:t>
      </w:r>
    </w:p>
    <w:p>
      <w:pPr>
        <w:pStyle w:val="normal11"/>
        <w:widowControl/>
        <w:spacing w:lineRule="auto" w:line="360"/>
        <w:jc w:val="both"/>
        <w:rPr>
          <w:rFonts w:ascii="Arial" w:hAnsi="Arial" w:eastAsia="Arial" w:cs="Arial"/>
          <w:i/>
          <w:i/>
        </w:rPr>
      </w:pPr>
      <w:r>
        <w:rPr>
          <w:rFonts w:eastAsia="Arial" w:cs="Arial" w:ascii="Arial" w:hAnsi="Arial"/>
          <w:i/>
        </w:rPr>
        <w:t>...e</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Poderão ser subcontratadas as seguintes parcelas do objeto: </w:t>
      </w:r>
    </w:p>
    <w:p>
      <w:pPr>
        <w:pStyle w:val="normal11"/>
        <w:widowControl/>
        <w:spacing w:lineRule="auto" w:line="360"/>
        <w:jc w:val="both"/>
        <w:rPr>
          <w:rFonts w:ascii="Arial" w:hAnsi="Arial" w:eastAsia="Arial" w:cs="Arial"/>
          <w:i/>
          <w:i/>
        </w:rPr>
      </w:pPr>
      <w:r>
        <w:rPr>
          <w:rFonts w:eastAsia="Arial" w:cs="Arial" w:ascii="Arial" w:hAnsi="Arial"/>
          <w:i/>
        </w:rPr>
        <w:t xml:space="preserve">... </w:t>
      </w:r>
    </w:p>
    <w:p>
      <w:pPr>
        <w:pStyle w:val="normal11"/>
        <w:widowControl/>
        <w:spacing w:lineRule="auto" w:line="360"/>
        <w:jc w:val="both"/>
        <w:rPr>
          <w:rFonts w:ascii="Arial" w:hAnsi="Arial" w:eastAsia="Arial" w:cs="Arial"/>
          <w:i/>
          <w:i/>
        </w:rPr>
      </w:pPr>
      <w:r>
        <w:rPr>
          <w:rFonts w:eastAsia="Arial" w:cs="Arial" w:ascii="Arial" w:hAnsi="Arial"/>
          <w:i/>
        </w:rPr>
        <w:t>...</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Em qualquer hipótese de subcontratação, permanece a responsabilidade integral do </w:t>
      </w:r>
      <w:r>
        <w:rPr>
          <w:rFonts w:eastAsia="Arial" w:cs="Arial" w:ascii="Arial" w:hAnsi="Arial"/>
          <w:b/>
          <w:i/>
        </w:rPr>
        <w:t xml:space="preserve">CONTRATADO </w:t>
      </w:r>
      <w:r>
        <w:rPr>
          <w:rFonts w:eastAsia="Arial" w:cs="Arial" w:ascii="Arial" w:hAnsi="Arial"/>
          <w:i/>
        </w:rPr>
        <w:t xml:space="preserve">pela perfeita execução contratual, cabendo-lhe realizar a supervisão e coordenação das atividades do </w:t>
      </w:r>
      <w:r>
        <w:rPr>
          <w:rFonts w:eastAsia="Arial" w:cs="Arial" w:ascii="Arial" w:hAnsi="Arial"/>
          <w:b/>
          <w:i/>
        </w:rPr>
        <w:t>SUBCONTRATADO</w:t>
      </w:r>
      <w:r>
        <w:rPr>
          <w:rFonts w:eastAsia="Arial" w:cs="Arial" w:ascii="Arial" w:hAnsi="Arial"/>
          <w:i/>
        </w:rPr>
        <w:t xml:space="preserve">, bem como responder perante o </w:t>
      </w:r>
      <w:r>
        <w:rPr>
          <w:rFonts w:eastAsia="Arial" w:cs="Arial" w:ascii="Arial" w:hAnsi="Arial"/>
          <w:b/>
          <w:i/>
        </w:rPr>
        <w:t xml:space="preserve">CONTRATANTE </w:t>
      </w:r>
      <w:r>
        <w:rPr>
          <w:rFonts w:eastAsia="Arial" w:cs="Arial" w:ascii="Arial" w:hAnsi="Arial"/>
          <w:i/>
        </w:rPr>
        <w:t>pelo rigoroso cumprimento das obrigações contratuais correspondentes ao objeto da subcontratação.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A subcontratação depende de autorização prévia do </w:t>
      </w:r>
      <w:r>
        <w:rPr>
          <w:rFonts w:eastAsia="Arial" w:cs="Arial" w:ascii="Arial" w:hAnsi="Arial"/>
          <w:b/>
          <w:i/>
        </w:rPr>
        <w:t>CONTRATANTE</w:t>
      </w:r>
      <w:r>
        <w:rPr>
          <w:rFonts w:eastAsia="Arial" w:cs="Arial" w:ascii="Arial" w:hAnsi="Arial"/>
          <w:i/>
        </w:rPr>
        <w:t xml:space="preserve">, a quem incumbe avaliar se o </w:t>
      </w:r>
      <w:r>
        <w:rPr>
          <w:rFonts w:eastAsia="Arial" w:cs="Arial" w:ascii="Arial" w:hAnsi="Arial"/>
          <w:b/>
          <w:i/>
        </w:rPr>
        <w:t xml:space="preserve">SUBCONTRATADO </w:t>
      </w:r>
      <w:r>
        <w:rPr>
          <w:rFonts w:eastAsia="Arial" w:cs="Arial" w:ascii="Arial" w:hAnsi="Arial"/>
          <w:i/>
        </w:rPr>
        <w:t>cumpre os requisitos de qualificação técnica necessários para a execução do objeto.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CONTRATADO </w:t>
      </w:r>
      <w:r>
        <w:rPr>
          <w:rFonts w:eastAsia="Arial" w:cs="Arial" w:ascii="Arial" w:hAnsi="Arial"/>
          <w:i/>
        </w:rPr>
        <w:t xml:space="preserve">apresentará à Administração documentação que comprove a capacidade técnica do </w:t>
      </w:r>
      <w:r>
        <w:rPr>
          <w:rFonts w:eastAsia="Arial" w:cs="Arial" w:ascii="Arial" w:hAnsi="Arial"/>
          <w:b/>
          <w:i/>
        </w:rPr>
        <w:t>SUBCONTRATADO</w:t>
      </w:r>
      <w:r>
        <w:rPr>
          <w:rFonts w:eastAsia="Arial" w:cs="Arial" w:ascii="Arial" w:hAnsi="Arial"/>
          <w:i/>
        </w:rPr>
        <w:t>, que será avaliada e juntada aos autos do processo correspondente.</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Caso tenha sido formulada no Termo de Referência a exigência de subcontratação de microempresas ou empresas de pequeno porte (Art. 48, II, da Lei Complementar n.º 123, de 2006, e art. 7º, do Decreto n.º 8.538, de 2015), além do regramento acima, deverão ser observadas as seguintes disposições específicas:</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CONTRATADO </w:t>
      </w:r>
      <w:r>
        <w:rPr>
          <w:rFonts w:eastAsia="Arial" w:cs="Arial" w:ascii="Arial" w:hAnsi="Arial"/>
          <w:i/>
        </w:rPr>
        <w:t>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CONTRATADO </w:t>
      </w:r>
      <w:r>
        <w:rPr>
          <w:rFonts w:eastAsia="Arial" w:cs="Arial" w:ascii="Arial" w:hAnsi="Arial"/>
          <w:i/>
        </w:rPr>
        <w:t xml:space="preserve">deverá a substituir a subcontratada, no prazo máximo de 30 (trinta) dias, na hipótese de extinção da subcontratação, mantendo o percentual originalmente </w:t>
      </w:r>
      <w:r>
        <w:rPr>
          <w:rFonts w:eastAsia="Arial" w:cs="Arial" w:ascii="Arial" w:hAnsi="Arial"/>
          <w:b/>
          <w:i/>
        </w:rPr>
        <w:t xml:space="preserve">SUBCONTRATADO </w:t>
      </w:r>
      <w:r>
        <w:rPr>
          <w:rFonts w:eastAsia="Arial" w:cs="Arial" w:ascii="Arial" w:hAnsi="Arial"/>
          <w:i/>
        </w:rPr>
        <w:t xml:space="preserve">até a sua execução total, notificando o </w:t>
      </w:r>
      <w:r>
        <w:rPr>
          <w:rFonts w:eastAsia="Arial" w:cs="Arial" w:ascii="Arial" w:hAnsi="Arial"/>
          <w:b/>
          <w:i/>
        </w:rPr>
        <w:t>CONTRATANTE</w:t>
      </w:r>
      <w:r>
        <w:rPr>
          <w:rFonts w:eastAsia="Arial" w:cs="Arial" w:ascii="Arial" w:hAnsi="Arial"/>
          <w:i/>
        </w:rPr>
        <w:t>, sob pena de rescisão, sem prejuízo das sanções cabíveis, ou a demonstrar a inviabilidade da substituição, hipótese em que ficará responsável pela execução da parcela originalmente subcontratada; e</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CONTRATADO </w:t>
      </w:r>
      <w:r>
        <w:rPr>
          <w:rFonts w:eastAsia="Arial" w:cs="Arial" w:ascii="Arial" w:hAnsi="Arial"/>
          <w:i/>
        </w:rPr>
        <w:t>será responsável pela padronização, pela compatibilidade, pelo gerenciamento centralizado e pela qualidade da subcontratação.</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Os empenhos e pagamentos referentes às parcelas subcontratadas serão destinados diretamente às microempresas e empresas de pequeno porte subcontratadas.</w:t>
      </w:r>
    </w:p>
    <w:p>
      <w:pPr>
        <w:pStyle w:val="normal11"/>
        <w:widowControl/>
        <w:numPr>
          <w:ilvl w:val="0"/>
          <w:numId w:val="4"/>
        </w:numPr>
        <w:spacing w:lineRule="auto" w:line="360" w:before="200" w:after="200"/>
        <w:jc w:val="both"/>
        <w:rPr>
          <w:rFonts w:ascii="Arial" w:hAnsi="Arial" w:eastAsia="Arial" w:cs="Arial"/>
          <w:b/>
        </w:rPr>
      </w:pPr>
      <w:r>
        <w:rPr>
          <w:rFonts w:eastAsia="Arial" w:cs="Arial" w:ascii="Arial" w:hAnsi="Arial"/>
          <w:b/>
        </w:rPr>
        <w:t>CLÁUSULA NONA – RECURSOS PARA ATENDER AS DESPESAS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As despesas decorrentes da presente contratação correrão à conta de recursos específicos consignados no orçamento xxxxxxxxxxxxxxx deste exercício, na dotação abaixo discriminada:</w:t>
      </w:r>
    </w:p>
    <w:p>
      <w:pPr>
        <w:pStyle w:val="normal11"/>
        <w:widowControl/>
        <w:numPr>
          <w:ilvl w:val="0"/>
          <w:numId w:val="33"/>
        </w:numPr>
        <w:spacing w:lineRule="auto" w:line="360"/>
        <w:ind w:firstLine="527" w:left="566"/>
        <w:jc w:val="both"/>
        <w:rPr>
          <w:rFonts w:ascii="Arial" w:hAnsi="Arial" w:eastAsia="Arial" w:cs="Arial"/>
        </w:rPr>
      </w:pPr>
      <w:r>
        <w:rPr>
          <w:rFonts w:eastAsia="Arial" w:cs="Arial" w:ascii="Arial" w:hAnsi="Arial"/>
        </w:rPr>
        <w:t xml:space="preserve">Órgão/Unidade: </w:t>
      </w:r>
    </w:p>
    <w:p>
      <w:pPr>
        <w:pStyle w:val="normal11"/>
        <w:widowControl/>
        <w:numPr>
          <w:ilvl w:val="0"/>
          <w:numId w:val="33"/>
        </w:numPr>
        <w:spacing w:lineRule="auto" w:line="360"/>
        <w:ind w:firstLine="527" w:left="566"/>
        <w:jc w:val="both"/>
        <w:rPr>
          <w:rFonts w:ascii="Arial" w:hAnsi="Arial" w:eastAsia="Arial" w:cs="Arial"/>
        </w:rPr>
      </w:pPr>
      <w:r>
        <w:rPr>
          <w:rFonts w:eastAsia="Arial" w:cs="Arial" w:ascii="Arial" w:hAnsi="Arial"/>
        </w:rPr>
        <w:t xml:space="preserve">Projeto/Atividade: </w:t>
      </w:r>
    </w:p>
    <w:p>
      <w:pPr>
        <w:pStyle w:val="normal11"/>
        <w:widowControl/>
        <w:numPr>
          <w:ilvl w:val="0"/>
          <w:numId w:val="33"/>
        </w:numPr>
        <w:spacing w:lineRule="auto" w:line="360"/>
        <w:ind w:firstLine="527" w:left="566"/>
        <w:jc w:val="both"/>
        <w:rPr>
          <w:rFonts w:ascii="Arial" w:hAnsi="Arial" w:eastAsia="Arial" w:cs="Arial"/>
        </w:rPr>
      </w:pPr>
      <w:r>
        <w:rPr>
          <w:rFonts w:eastAsia="Arial" w:cs="Arial" w:ascii="Arial" w:hAnsi="Arial"/>
        </w:rPr>
        <w:t xml:space="preserve">Elemento de Despesa: </w:t>
      </w:r>
    </w:p>
    <w:p>
      <w:pPr>
        <w:pStyle w:val="normal11"/>
        <w:widowControl/>
        <w:numPr>
          <w:ilvl w:val="0"/>
          <w:numId w:val="33"/>
        </w:numPr>
        <w:spacing w:lineRule="auto" w:line="360"/>
        <w:ind w:firstLine="527" w:left="566"/>
        <w:jc w:val="both"/>
        <w:rPr>
          <w:rFonts w:ascii="Arial" w:hAnsi="Arial" w:eastAsia="Arial" w:cs="Arial"/>
        </w:rPr>
      </w:pPr>
      <w:r>
        <w:rPr>
          <w:rFonts w:eastAsia="Arial" w:cs="Arial" w:ascii="Arial" w:hAnsi="Arial"/>
        </w:rPr>
        <w:t xml:space="preserve">Fonte de Recurso: </w:t>
      </w:r>
    </w:p>
    <w:p>
      <w:pPr>
        <w:pStyle w:val="normal11"/>
        <w:widowControl/>
        <w:numPr>
          <w:ilvl w:val="0"/>
          <w:numId w:val="33"/>
        </w:numPr>
        <w:spacing w:lineRule="auto" w:line="360"/>
        <w:ind w:firstLine="527" w:left="566"/>
        <w:jc w:val="both"/>
        <w:rPr>
          <w:rFonts w:ascii="Arial" w:hAnsi="Arial" w:eastAsia="Arial" w:cs="Arial"/>
        </w:rPr>
      </w:pPr>
      <w:r>
        <w:rPr>
          <w:rFonts w:eastAsia="Arial" w:cs="Arial" w:ascii="Arial" w:hAnsi="Arial"/>
        </w:rPr>
        <w:t>Funcional:</w:t>
      </w:r>
    </w:p>
    <w:p>
      <w:pPr>
        <w:pStyle w:val="normal11"/>
        <w:widowControl/>
        <w:spacing w:lineRule="auto" w:line="360"/>
        <w:jc w:val="both"/>
        <w:rPr>
          <w:rFonts w:ascii="Arial" w:hAnsi="Arial" w:eastAsia="Arial" w:cs="Arial"/>
          <w:i/>
          <w:i/>
        </w:rPr>
      </w:pPr>
      <w:r>
        <w:rPr>
          <w:rFonts w:eastAsia="Arial" w:cs="Arial" w:ascii="Arial" w:hAnsi="Arial"/>
        </w:rPr>
        <w:t xml:space="preserve">Parágrafo Único: </w:t>
      </w:r>
      <w:r>
        <w:rPr>
          <w:rFonts w:eastAsia="Arial" w:cs="Arial" w:ascii="Arial" w:hAnsi="Arial"/>
          <w:i/>
        </w:rPr>
        <w:t>A dotação relativa aos exercícios financeiros subsequentes será indicada após aprovação da Lei Orçamentária respectiva e liberação dos créditos correspondentes, mediante apostilamento.</w:t>
      </w:r>
    </w:p>
    <w:p>
      <w:pPr>
        <w:pStyle w:val="normal11"/>
        <w:widowControl/>
        <w:numPr>
          <w:ilvl w:val="0"/>
          <w:numId w:val="4"/>
        </w:numPr>
        <w:spacing w:lineRule="auto" w:line="360" w:before="200" w:after="200"/>
        <w:jc w:val="both"/>
        <w:rPr>
          <w:rFonts w:ascii="Arial" w:hAnsi="Arial" w:eastAsia="Arial" w:cs="Arial"/>
          <w:b/>
        </w:rPr>
      </w:pPr>
      <w:r>
        <w:rPr>
          <w:rFonts w:eastAsia="Arial" w:cs="Arial" w:ascii="Arial" w:hAnsi="Arial"/>
          <w:b/>
        </w:rPr>
        <w:t>CLÁUSULA DÉCIMA – GESTÃO E FISCALIZAÇÃO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CONTRATANTE exercerá ampla gestão e fiscalização do objeto </w:t>
      </w:r>
      <w:r>
        <w:rPr>
          <w:rFonts w:eastAsia="Arial" w:cs="Arial" w:ascii="Arial" w:hAnsi="Arial"/>
          <w:b/>
        </w:rPr>
        <w:t>CONTRATADO</w:t>
      </w:r>
      <w:r>
        <w:rPr>
          <w:rFonts w:eastAsia="Arial" w:cs="Arial" w:ascii="Arial" w:hAnsi="Arial"/>
        </w:rPr>
        <w:t xml:space="preserve">, o que em nenhuma hipótese eximirá a </w:t>
      </w:r>
      <w:r>
        <w:rPr>
          <w:rFonts w:eastAsia="Arial" w:cs="Arial" w:ascii="Arial" w:hAnsi="Arial"/>
          <w:b/>
        </w:rPr>
        <w:t xml:space="preserve">CONTRATADA </w:t>
      </w:r>
      <w:r>
        <w:rPr>
          <w:rFonts w:eastAsia="Arial" w:cs="Arial" w:ascii="Arial" w:hAnsi="Arial"/>
        </w:rPr>
        <w:t>das responsabilidades fixadas pelo Código Civil e pelo Código de Defesa do Consumidor.</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 gestão contratual caberá à autoridade competente da pasta, sendo de sua competência:</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Coordenar as atividades relacionadas à fiscalização técnica, administrativa e setorial;</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Acompanhar os registros realizados pelos fiscais do contrato das ocorrências relacionadas à execução do contrato e as medidas adotadas, e informar à autoridade superior do município aquelas que ultrapassarem a sua competência;</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Acompanhar a manutenção das condições de habilitação do contratado, para fins de empenho de despesa e de pagamento, e anotar os problemas que obstem o fluxo normal da liquidação e do pagamento da despesa no relatório de riscos eventuais;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Coordenar os atos preparatórios à instrução processual e ao envio da documentação pertinente ao setor de contratos para a formalização dos procedimentos relativos à prorrogação, à alteração, ao reequilíbrio, ao pagamento, à eventual aplicação de sanções e a extinção dos contratos;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Elaborar o relatório final de que trata a alínea “d” do inciso VI do § 3º do art. 174 da Lei nº 14.133, de 2021, com as informações obtidas durante a execução do contrato;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a eventuais penalidades aplicadas, a constarem do cadastro de atesto de cumprimento de obrigações conforme disposto em regulamento;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Realizar o recebimento definitivo do objeto do contrato referido no art. 25 da Lei nº 14.133, de 2021, mediante termo detalhado que comprove o atendimento das exigências contratuais; e</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Tomar providências para a formalização de processo administrativo de responsabilização para fins de aplicação de sanções, de que trata o art. 158 da Lei nº 14.133, de 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 fiscalização contratual ocorrerá simultaneamente por dois servidores designados, sempre que necessário; sendo o FISCAL ADMINISTRATIVO e o FISCAL TÉCNICO. A atribuição de Fiscal Técnico deverá ser exercida por servidor designado de cargo técnico, conforme atribuições descritas no Manual De Fiscalização de Contratos da Prefeitura de Florianópolis (de Outubro de 2020).</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Compete ao fiscal técnico: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O fiscal técnico do contrato acompanhará a execução do contrato, para que sejam cumpridas todas as condições estabelecidas no contrato, de modo a assegurar os melhores resultados para a Administração.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fiscalização técnica dos contratos deve avaliar constantemente através do Instrumento de Medição de Resultado (IMR), caso haja previsão no ETP para aferição da qualidade da prestação dos serviços, devendo haver o redimensionamento no pagamento com base nos indicadores estabelecidos.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O fiscal técnico do contrato deverá apresentar ao preposto da contratada a avaliação da execução do objeto ou, se for o caso, a avaliação de desempenho e qualidade da prestação dos serviços realizada.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Na hipótese de comportamento contínuo de desconformidade da prestação do serviço em relação à qualidade exigida, bem como quando esta ultrapassar os níveis mínimos toleráveis previstos nos indicadores, além dos fatores redutores, deve ser aplicado às sanções à contratada de acordo com as regras previstas no ato convocatório.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É vedada a atribuição à contratada da avaliação de desempenho e qualidade da prestação dos serviços por ela realizada.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O fiscal técnico poderá realizar a avaliação diária, semanal ou mensal, desde que o período escolhido seja suficiente para avaliar ou, se for o caso, aferir o desempenho e qualidade da prestação dos serviços.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conformidade do material/técnica/equipamento a ser utilizado na execução dos serviços deverá ser verificada juntamente com o documento da Contratada que contenha a relação detalhada destes, de acordo com o estabelecido no edital e na proposta, informando as respectivas quantidades e especificações técnicas, tais como: marca, qualidade e forma de uso. (art. 47, §2º, IN 05/2017)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fiscalização de que trata esta cláusula não exclui nem reduz a responsabilidade da Contratada, inclusive perante terceiros, por qualquer irregularidade, ainda que resultante de imperfeições técnicas, vícios anuláveis, ou emprego de material inadequado ou de qualidade inferior e, na ocorrência desta, não implica corresponsabilidade da </w:t>
      </w:r>
      <w:r>
        <w:rPr>
          <w:rFonts w:eastAsia="Arial" w:cs="Arial" w:ascii="Arial" w:hAnsi="Arial"/>
          <w:b/>
        </w:rPr>
        <w:t xml:space="preserve">CONTRATANTE </w:t>
      </w:r>
      <w:r>
        <w:rPr>
          <w:rFonts w:eastAsia="Arial" w:cs="Arial" w:ascii="Arial" w:hAnsi="Arial"/>
        </w:rPr>
        <w:t xml:space="preserve">ou de seus agentes, gestores e fiscais, de conformidade.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Identificada qualquer inexatidão ou irregularidade, o fiscal técnico do contrato emitirá notificações para a correção da execução do contrato, determinando prazo para a correção. (Decreto nº 11.246, de 2022, art. 22, III)</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 </w:t>
      </w:r>
      <w:r>
        <w:rPr>
          <w:rFonts w:eastAsia="Arial" w:cs="Arial" w:ascii="Arial" w:hAnsi="Arial"/>
        </w:rPr>
        <w:t xml:space="preserve">No caso de ocorrências que possam inviabilizar a execução do contrato nas datas aprazadas, o fiscal técnico do contrato comunicará o fato imediatamente ao gestor do contrato. (Decreto nº 11.246, de 2022, art. 22, V);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O fiscal técnico do contrato comunicará ao gestor do contrato, em tempo hábil, o término do contrato sob sua responsabilidade, com vistas à tempestiva renovação ou à prorrogação contratual (Decreto nº 11.246, de 2022, art. 22, VII).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Compete ao fiscal administrativo: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fiscalização administrativa poderá ser efetivada com base em critérios estatísticos, levando-se em consideração falhas que impactem o contrato como um todo e não apenas erros e falhas eventuais no pagamento de alguma vantagem a um determinado empregado. </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Na fiscalização do cumprimento das obrigações trabalhistas e sociais exigir-se-á, dentre outras, as seguintes comprovações, com a entrega até o dia trinta do mês seguinte ao da prestação dos serviços ao setor responsável pela fiscalização do contrato dos seguintes documentos, quando não for possível a verificação da regularidade destes no Sistema de Cadastro de Fornecedores (Sicaf):</w:t>
      </w:r>
    </w:p>
    <w:p>
      <w:pPr>
        <w:pStyle w:val="normal11"/>
        <w:widowControl/>
        <w:numPr>
          <w:ilvl w:val="1"/>
          <w:numId w:val="9"/>
        </w:numPr>
        <w:spacing w:lineRule="auto" w:line="360"/>
        <w:ind w:firstLine="527" w:left="566"/>
        <w:jc w:val="both"/>
        <w:rPr>
          <w:rFonts w:ascii="Arial" w:hAnsi="Arial" w:eastAsia="Arial" w:cs="Arial"/>
        </w:rPr>
      </w:pPr>
      <w:r>
        <w:rPr>
          <w:rFonts w:eastAsia="Arial" w:cs="Arial" w:ascii="Arial" w:hAnsi="Arial"/>
        </w:rPr>
        <w:t>Certidão Negativa de Débitos relativos a Créditos Tributários Federais e à Dívida Ativa da União (CND);</w:t>
      </w:r>
    </w:p>
    <w:p>
      <w:pPr>
        <w:pStyle w:val="normal11"/>
        <w:widowControl/>
        <w:numPr>
          <w:ilvl w:val="1"/>
          <w:numId w:val="9"/>
        </w:numPr>
        <w:spacing w:lineRule="auto" w:line="360"/>
        <w:ind w:firstLine="527" w:left="566"/>
        <w:jc w:val="both"/>
        <w:rPr>
          <w:rFonts w:ascii="Arial" w:hAnsi="Arial" w:eastAsia="Arial" w:cs="Arial"/>
        </w:rPr>
      </w:pPr>
      <w:r>
        <w:rPr>
          <w:rFonts w:eastAsia="Arial" w:cs="Arial" w:ascii="Arial" w:hAnsi="Arial"/>
        </w:rPr>
        <w:t xml:space="preserve">Certidões que comprovem a regularidade perante as Fazendas Estadual, Distrital e Municipal do domicílio ou sede do </w:t>
      </w:r>
      <w:r>
        <w:rPr>
          <w:rFonts w:eastAsia="Arial" w:cs="Arial" w:ascii="Arial" w:hAnsi="Arial"/>
          <w:b/>
        </w:rPr>
        <w:t>CONTRATADO</w:t>
      </w:r>
      <w:r>
        <w:rPr>
          <w:rFonts w:eastAsia="Arial" w:cs="Arial" w:ascii="Arial" w:hAnsi="Arial"/>
        </w:rPr>
        <w:t>;</w:t>
      </w:r>
    </w:p>
    <w:p>
      <w:pPr>
        <w:pStyle w:val="normal11"/>
        <w:widowControl/>
        <w:numPr>
          <w:ilvl w:val="1"/>
          <w:numId w:val="9"/>
        </w:numPr>
        <w:spacing w:lineRule="auto" w:line="360"/>
        <w:ind w:firstLine="527" w:left="566"/>
        <w:jc w:val="both"/>
        <w:rPr>
          <w:rFonts w:ascii="Arial" w:hAnsi="Arial" w:eastAsia="Arial" w:cs="Arial"/>
        </w:rPr>
      </w:pPr>
      <w:r>
        <w:rPr>
          <w:rFonts w:eastAsia="Arial" w:cs="Arial" w:ascii="Arial" w:hAnsi="Arial"/>
        </w:rPr>
        <w:t xml:space="preserve">Certidão de Regularidade do FGTS (CRF); e </w:t>
      </w:r>
    </w:p>
    <w:p>
      <w:pPr>
        <w:pStyle w:val="normal11"/>
        <w:widowControl/>
        <w:numPr>
          <w:ilvl w:val="1"/>
          <w:numId w:val="9"/>
        </w:numPr>
        <w:spacing w:lineRule="auto" w:line="360"/>
        <w:ind w:firstLine="527" w:left="566"/>
        <w:jc w:val="both"/>
        <w:rPr>
          <w:rFonts w:ascii="Arial" w:hAnsi="Arial" w:eastAsia="Arial" w:cs="Arial"/>
        </w:rPr>
      </w:pPr>
      <w:r>
        <w:rPr>
          <w:rFonts w:eastAsia="Arial" w:cs="Arial" w:ascii="Arial" w:hAnsi="Arial"/>
        </w:rPr>
        <w:t>Certidão Negativa de Débitos Trabalhistas (CNDT).</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 </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PRIMEIRA – RESPONSABILIDADES DO CONTRATANTE (Art. 92, X, XI e XIV,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São obrigações do </w:t>
      </w:r>
      <w:r>
        <w:rPr>
          <w:rFonts w:eastAsia="Arial" w:cs="Arial" w:ascii="Arial" w:hAnsi="Arial"/>
          <w:b/>
        </w:rPr>
        <w:t>CONTRATANTE</w:t>
      </w:r>
      <w:r>
        <w:rPr>
          <w:rFonts w:eastAsia="Arial" w:cs="Arial" w:ascii="Arial" w:hAnsi="Arial"/>
        </w:rPr>
        <w:t>, além das previstas no Termo de Referência: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Exigir o cumprimento de todas as obrigações assumidas pelo </w:t>
      </w:r>
      <w:r>
        <w:rPr>
          <w:rFonts w:eastAsia="Arial" w:cs="Arial" w:ascii="Arial" w:hAnsi="Arial"/>
          <w:b/>
        </w:rPr>
        <w:t>CONTRATADO</w:t>
      </w:r>
      <w:r>
        <w:rPr>
          <w:rFonts w:eastAsia="Arial" w:cs="Arial" w:ascii="Arial" w:hAnsi="Arial"/>
        </w:rPr>
        <w:t>, de acordo com o contrato e seus anexos;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Receber o objeto no prazo e condições estabelecidas no Termo de Referência;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Notificar o </w:t>
      </w:r>
      <w:r>
        <w:rPr>
          <w:rFonts w:eastAsia="Arial" w:cs="Arial" w:ascii="Arial" w:hAnsi="Arial"/>
          <w:b/>
        </w:rPr>
        <w:t xml:space="preserve">CONTRATADO </w:t>
      </w:r>
      <w:r>
        <w:rPr>
          <w:rFonts w:eastAsia="Arial" w:cs="Arial" w:ascii="Arial" w:hAnsi="Arial"/>
        </w:rPr>
        <w:t>por escrito da ocorrência de eventuais imperfeições, falhas ou irregularidades constatadas no curso da execução dos serviços, fixando prazo para a sua correção, certificando-se de que as soluções por ele propostas sejam as mais adequadas;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Notificar o </w:t>
      </w:r>
      <w:r>
        <w:rPr>
          <w:rFonts w:eastAsia="Arial" w:cs="Arial" w:ascii="Arial" w:hAnsi="Arial"/>
          <w:b/>
        </w:rPr>
        <w:t>CONTRATADO</w:t>
      </w:r>
      <w:r>
        <w:rPr>
          <w:rFonts w:eastAsia="Arial" w:cs="Arial" w:ascii="Arial" w:hAnsi="Arial"/>
        </w:rPr>
        <w:t>, por escrito, sobre vícios, defeitos ou incorreções verificadas no objeto fornecido, para que seja por ele substituído, reparado ou corrigido, no total ou em parte, às suas expensas;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Acompanhar e fiscalizar a execução do contrato e o cumprimento das obrigações pelo </w:t>
      </w:r>
      <w:r>
        <w:rPr>
          <w:rFonts w:eastAsia="Arial" w:cs="Arial" w:ascii="Arial" w:hAnsi="Arial"/>
          <w:b/>
        </w:rPr>
        <w:t>CONTRATADO</w:t>
      </w:r>
      <w:r>
        <w:rPr>
          <w:rFonts w:eastAsia="Arial" w:cs="Arial" w:ascii="Arial" w:hAnsi="Arial"/>
        </w:rPr>
        <w:t>;</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Comunicar o </w:t>
      </w:r>
      <w:r>
        <w:rPr>
          <w:rFonts w:eastAsia="Arial" w:cs="Arial" w:ascii="Arial" w:hAnsi="Arial"/>
          <w:b/>
        </w:rPr>
        <w:t xml:space="preserve">CONTRATADO </w:t>
      </w:r>
      <w:r>
        <w:rPr>
          <w:rFonts w:eastAsia="Arial" w:cs="Arial" w:ascii="Arial" w:hAnsi="Arial"/>
        </w:rPr>
        <w:t>para emissão de Nota Fiscal no que se refere à parcela incontroversa da execução do objeto, para efeito de liquidação e pagamento, quando houver controvérsia sobre a execução do objeto, quanto à dimensão, qualidade e quantidade, conforme o art. 143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Efetuar o pagamento ao </w:t>
      </w:r>
      <w:r>
        <w:rPr>
          <w:rFonts w:eastAsia="Arial" w:cs="Arial" w:ascii="Arial" w:hAnsi="Arial"/>
          <w:b/>
        </w:rPr>
        <w:t xml:space="preserve">CONTRATADO </w:t>
      </w:r>
      <w:r>
        <w:rPr>
          <w:rFonts w:eastAsia="Arial" w:cs="Arial" w:ascii="Arial" w:hAnsi="Arial"/>
        </w:rPr>
        <w:t>do valor correspondente à execução do objeto, no prazo, forma e condições estabelecidos no presente Contrato e no Termo de Referência;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Aplicar ao </w:t>
      </w:r>
      <w:r>
        <w:rPr>
          <w:rFonts w:eastAsia="Arial" w:cs="Arial" w:ascii="Arial" w:hAnsi="Arial"/>
          <w:b/>
        </w:rPr>
        <w:t xml:space="preserve">CONTRATADO </w:t>
      </w:r>
      <w:r>
        <w:rPr>
          <w:rFonts w:eastAsia="Arial" w:cs="Arial" w:ascii="Arial" w:hAnsi="Arial"/>
        </w:rPr>
        <w:t xml:space="preserve">as sanções previstas na lei e neste Contrato;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Cientificar o órgão de representação pela Controladoria Geral do Município para adoção das medidas cabíveis quando do descumprimento de obrigações pelo </w:t>
      </w:r>
      <w:r>
        <w:rPr>
          <w:rFonts w:eastAsia="Arial" w:cs="Arial" w:ascii="Arial" w:hAnsi="Arial"/>
          <w:b/>
        </w:rPr>
        <w:t>CONTRATADO</w:t>
      </w:r>
      <w:r>
        <w:rPr>
          <w:rFonts w:eastAsia="Arial" w:cs="Arial" w:ascii="Arial" w:hAnsi="Arial"/>
        </w:rPr>
        <w:t>;</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A Administração terá o prazo de um mês, a contar da data do protocolo do requerimento para decidir, admitida a prorrogação motivada, por igual período.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Responder eventuais pedidos de restabelecimento do equilíbrio econômico-financeiro feitos pelo </w:t>
      </w:r>
      <w:r>
        <w:rPr>
          <w:rFonts w:eastAsia="Arial" w:cs="Arial" w:ascii="Arial" w:hAnsi="Arial"/>
          <w:b/>
        </w:rPr>
        <w:t xml:space="preserve">CONTRATADO </w:t>
      </w:r>
      <w:r>
        <w:rPr>
          <w:rFonts w:eastAsia="Arial" w:cs="Arial" w:ascii="Arial" w:hAnsi="Arial"/>
        </w:rPr>
        <w:t>no prazo máximo de um mês;</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Notificar os emitentes das garantias quanto ao início de processo administrativo para apuração de descumprimento de cláusulas contratuais;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Comunicar o </w:t>
      </w:r>
      <w:r>
        <w:rPr>
          <w:rFonts w:eastAsia="Arial" w:cs="Arial" w:ascii="Arial" w:hAnsi="Arial"/>
          <w:b/>
        </w:rPr>
        <w:t xml:space="preserve">CONTRATADO </w:t>
      </w:r>
      <w:r>
        <w:rPr>
          <w:rFonts w:eastAsia="Arial" w:cs="Arial" w:ascii="Arial" w:hAnsi="Arial"/>
        </w:rPr>
        <w:t>na hipótese de posterior alteração do projeto pelo CONTRATANTE, no caso do art. 93, §2º,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Fornecer por escrito as informações necessárias para o desenvolvimento dos serviços objeto do contrato;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Realizar avaliações periódicas da qualidade dos serviços, após seu recebimento;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Exigir do </w:t>
      </w:r>
      <w:r>
        <w:rPr>
          <w:rFonts w:eastAsia="Arial" w:cs="Arial" w:ascii="Arial" w:hAnsi="Arial"/>
          <w:b/>
          <w:i/>
        </w:rPr>
        <w:t xml:space="preserve">CONTRATADO </w:t>
      </w:r>
      <w:r>
        <w:rPr>
          <w:rFonts w:eastAsia="Arial" w:cs="Arial" w:ascii="Arial" w:hAnsi="Arial"/>
          <w:i/>
        </w:rPr>
        <w:t>que providencie a seguinte documentação como condição indispensável para o recebimento definitivo de objeto, quando for o caso:</w:t>
      </w:r>
    </w:p>
    <w:p>
      <w:pPr>
        <w:pStyle w:val="normal11"/>
        <w:widowControl/>
        <w:numPr>
          <w:ilvl w:val="1"/>
          <w:numId w:val="5"/>
        </w:numPr>
        <w:spacing w:lineRule="auto" w:line="360"/>
        <w:ind w:firstLine="527" w:left="566"/>
        <w:jc w:val="both"/>
        <w:rPr>
          <w:rFonts w:ascii="Arial" w:hAnsi="Arial" w:eastAsia="Arial" w:cs="Arial"/>
          <w:i/>
          <w:i/>
        </w:rPr>
      </w:pPr>
      <w:r>
        <w:rPr>
          <w:rFonts w:eastAsia="Arial" w:cs="Arial" w:ascii="Arial" w:hAnsi="Arial"/>
          <w:i/>
        </w:rPr>
        <w:t>"as built", elaborado pelo responsável por sua execução;</w:t>
      </w:r>
    </w:p>
    <w:p>
      <w:pPr>
        <w:pStyle w:val="normal11"/>
        <w:widowControl/>
        <w:numPr>
          <w:ilvl w:val="1"/>
          <w:numId w:val="5"/>
        </w:numPr>
        <w:spacing w:lineRule="auto" w:line="360"/>
        <w:ind w:firstLine="527" w:left="566"/>
        <w:jc w:val="both"/>
        <w:rPr>
          <w:rFonts w:ascii="Arial" w:hAnsi="Arial" w:eastAsia="Arial" w:cs="Arial"/>
          <w:i/>
          <w:i/>
        </w:rPr>
      </w:pPr>
      <w:r>
        <w:rPr>
          <w:rFonts w:eastAsia="Arial" w:cs="Arial" w:ascii="Arial" w:hAnsi="Arial"/>
          <w:i/>
        </w:rPr>
        <w:t>comprovação das ligações definitivas de energia, água, telefone e gás;</w:t>
      </w:r>
    </w:p>
    <w:p>
      <w:pPr>
        <w:pStyle w:val="normal11"/>
        <w:widowControl/>
        <w:numPr>
          <w:ilvl w:val="1"/>
          <w:numId w:val="5"/>
        </w:numPr>
        <w:spacing w:lineRule="auto" w:line="360"/>
        <w:ind w:firstLine="527" w:left="566"/>
        <w:jc w:val="both"/>
        <w:rPr>
          <w:rFonts w:ascii="Arial" w:hAnsi="Arial" w:eastAsia="Arial" w:cs="Arial"/>
          <w:i/>
          <w:i/>
        </w:rPr>
      </w:pPr>
      <w:r>
        <w:rPr>
          <w:rFonts w:eastAsia="Arial" w:cs="Arial" w:ascii="Arial" w:hAnsi="Arial"/>
          <w:i/>
        </w:rPr>
        <w:t>laudo de vistoria do corpo de bombeiros aprovando o serviço;</w:t>
      </w:r>
    </w:p>
    <w:p>
      <w:pPr>
        <w:pStyle w:val="normal11"/>
        <w:widowControl/>
        <w:numPr>
          <w:ilvl w:val="1"/>
          <w:numId w:val="5"/>
        </w:numPr>
        <w:spacing w:lineRule="auto" w:line="360"/>
        <w:ind w:firstLine="527" w:left="566"/>
        <w:jc w:val="both"/>
        <w:rPr>
          <w:rFonts w:ascii="Arial" w:hAnsi="Arial" w:eastAsia="Arial" w:cs="Arial"/>
          <w:i/>
          <w:i/>
        </w:rPr>
      </w:pPr>
      <w:r>
        <w:rPr>
          <w:rFonts w:eastAsia="Arial" w:cs="Arial" w:ascii="Arial" w:hAnsi="Arial"/>
          <w:i/>
        </w:rPr>
        <w:t>carta "habite-se", emitida pela prefeitura; e</w:t>
      </w:r>
    </w:p>
    <w:p>
      <w:pPr>
        <w:pStyle w:val="normal11"/>
        <w:widowControl/>
        <w:numPr>
          <w:ilvl w:val="1"/>
          <w:numId w:val="5"/>
        </w:numPr>
        <w:spacing w:lineRule="auto" w:line="360"/>
        <w:ind w:firstLine="527" w:left="566"/>
        <w:jc w:val="both"/>
        <w:rPr>
          <w:rFonts w:ascii="Arial" w:hAnsi="Arial" w:eastAsia="Arial" w:cs="Arial"/>
          <w:i/>
          <w:i/>
        </w:rPr>
      </w:pPr>
      <w:r>
        <w:rPr>
          <w:rFonts w:eastAsia="Arial" w:cs="Arial" w:ascii="Arial" w:hAnsi="Arial"/>
          <w:i/>
        </w:rPr>
        <w:t>certidão negativa de débitos previdenciários específica para o registro da obra junto ao Cartório de Registro de Imóveis;</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Arquivar, entre outros documentos, projetos, "as built", especificações técnicas, orçamentos, termos de recebimento, contratos e aditamentos, relatórios de inspeções técnicas após o recebimento do serviço e notificações expedidas;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Assegurar que o ambiente de trabalho, inclusive seus equipamentos e instalações, apresentem condições adequadas ao cumprimento, pelo </w:t>
      </w:r>
      <w:r>
        <w:rPr>
          <w:rFonts w:eastAsia="Arial" w:cs="Arial" w:ascii="Arial" w:hAnsi="Arial"/>
          <w:b/>
        </w:rPr>
        <w:t>CONTRATADO</w:t>
      </w:r>
      <w:r>
        <w:rPr>
          <w:rFonts w:eastAsia="Arial" w:cs="Arial" w:ascii="Arial" w:hAnsi="Arial"/>
        </w:rPr>
        <w:t>, das normas de segurança e saúde no trabalho, quando o serviço for executado em suas dependências, ou em local por ela designado;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Não responder por quaisquer compromissos assumidos pelo </w:t>
      </w:r>
      <w:r>
        <w:rPr>
          <w:rFonts w:eastAsia="Arial" w:cs="Arial" w:ascii="Arial" w:hAnsi="Arial"/>
          <w:b/>
        </w:rPr>
        <w:t xml:space="preserve">CONTRATADO </w:t>
      </w:r>
      <w:r>
        <w:rPr>
          <w:rFonts w:eastAsia="Arial" w:cs="Arial" w:ascii="Arial" w:hAnsi="Arial"/>
        </w:rPr>
        <w:t xml:space="preserve">com terceiros, ainda que vinculados à execução do contrato, bem como por qualquer dano causado a terceiros em decorrência de ato do </w:t>
      </w:r>
      <w:r>
        <w:rPr>
          <w:rFonts w:eastAsia="Arial" w:cs="Arial" w:ascii="Arial" w:hAnsi="Arial"/>
          <w:b/>
        </w:rPr>
        <w:t>CONTRATADO</w:t>
      </w:r>
      <w:r>
        <w:rPr>
          <w:rFonts w:eastAsia="Arial" w:cs="Arial" w:ascii="Arial" w:hAnsi="Arial"/>
        </w:rPr>
        <w:t>, de seus empregados, prepostos ou subordinados;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Previamente à expedição da ordem de serviço, verificar pendências, liberar áreas e/ou adotar providências cabíveis para a regularidade do início da sua execução.</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SEGUNDA – RESPONSABILIDADES DA CONTRATADA (Art. 92, XIV, XVI e XVII,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w:t>
      </w:r>
      <w:r>
        <w:rPr>
          <w:rFonts w:eastAsia="Arial" w:cs="Arial" w:ascii="Arial" w:hAnsi="Arial"/>
          <w:b/>
        </w:rPr>
        <w:t xml:space="preserve">CONTRATADO </w:t>
      </w:r>
      <w:r>
        <w:rPr>
          <w:rFonts w:eastAsia="Arial" w:cs="Arial" w:ascii="Arial" w:hAnsi="Arial"/>
        </w:rPr>
        <w:t>deve cumprir todas as obrigações constantes deste Contrato e de seus anexos, assumindo como exclusivamente seus os riscos e as despesas decorrentes da boa e perfeita execução do objeto, observando, ainda, as obrigações a seguir dispostas: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Manter preposto aceito pela Administração no local do serviço para representá-lo na execução do contrato;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A indicação ou a manutenção do preposto da empresa poderá ser recusada pelo órgão ou entidade, desde que devidamente justificada, devendo a empresa designar outro para o exercício da atividade.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Atender às determinações regulares emitidas pelo fiscal do contrato ou autoridade superior (Art. 137, II, da Lei n.º 14.133/2021) e prestar todo esclarecimento ou informação por eles solicitados;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Efetuar comunicação ao </w:t>
      </w:r>
      <w:r>
        <w:rPr>
          <w:rFonts w:eastAsia="Arial" w:cs="Arial" w:ascii="Arial" w:hAnsi="Arial"/>
          <w:b/>
        </w:rPr>
        <w:t>CONTRATANTE</w:t>
      </w:r>
      <w:r>
        <w:rPr>
          <w:rFonts w:eastAsia="Arial" w:cs="Arial" w:ascii="Arial" w:hAnsi="Arial"/>
        </w:rPr>
        <w:t xml:space="preserve">, assim que tiver ciência da impossibilidade de realização ou finalização do serviço no prazo estabelecido, para adoção de ações de contingência cabíveis;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Não contratar, durante a vigência do contrato, cônjuge, companheiro ou parente em linha reta, colateral ou por afinidade, até o terceiro grau, de dirigente do </w:t>
      </w:r>
      <w:r>
        <w:rPr>
          <w:rFonts w:eastAsia="Arial" w:cs="Arial" w:ascii="Arial" w:hAnsi="Arial"/>
          <w:b/>
        </w:rPr>
        <w:t xml:space="preserve">CONTRATANTE </w:t>
      </w:r>
      <w:r>
        <w:rPr>
          <w:rFonts w:eastAsia="Arial" w:cs="Arial" w:ascii="Arial" w:hAnsi="Arial"/>
        </w:rPr>
        <w:t>ou do fiscal ou gestor do contrato, nos termos do artigo 48, parágrafo único,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Quando não for possível a verificação da regularidade no Sistema de Cadastro de Fornecedores – SICAF, o </w:t>
      </w:r>
      <w:r>
        <w:rPr>
          <w:rFonts w:eastAsia="Arial" w:cs="Arial" w:ascii="Arial" w:hAnsi="Arial"/>
          <w:b/>
        </w:rPr>
        <w:t xml:space="preserve">CONTRATADO </w:t>
      </w:r>
      <w:r>
        <w:rPr>
          <w:rFonts w:eastAsia="Arial" w:cs="Arial" w:ascii="Arial" w:hAnsi="Arial"/>
        </w:rPr>
        <w:t xml:space="preserve">deverá entregar ao setor responsável pela fiscalização do contrato, até o dia 30 (trinta) do mês seguinte ao da prestação dos serviços, os seguintes documentos: </w:t>
      </w:r>
    </w:p>
    <w:p>
      <w:pPr>
        <w:pStyle w:val="normal11"/>
        <w:widowControl/>
        <w:numPr>
          <w:ilvl w:val="1"/>
          <w:numId w:val="39"/>
        </w:numPr>
        <w:spacing w:lineRule="auto" w:line="360"/>
        <w:ind w:firstLine="527" w:left="566"/>
        <w:jc w:val="both"/>
        <w:rPr>
          <w:rFonts w:ascii="Arial" w:hAnsi="Arial" w:eastAsia="Arial" w:cs="Arial"/>
        </w:rPr>
      </w:pPr>
      <w:r>
        <w:rPr>
          <w:rFonts w:eastAsia="Arial" w:cs="Arial" w:ascii="Arial" w:hAnsi="Arial"/>
        </w:rPr>
        <w:t xml:space="preserve">prova de regularidade relativa à Seguridade Social; </w:t>
      </w:r>
    </w:p>
    <w:p>
      <w:pPr>
        <w:pStyle w:val="normal11"/>
        <w:widowControl/>
        <w:numPr>
          <w:ilvl w:val="1"/>
          <w:numId w:val="39"/>
        </w:numPr>
        <w:spacing w:lineRule="auto" w:line="360"/>
        <w:ind w:firstLine="527" w:left="566"/>
        <w:jc w:val="both"/>
        <w:rPr>
          <w:rFonts w:ascii="Arial" w:hAnsi="Arial" w:eastAsia="Arial" w:cs="Arial"/>
        </w:rPr>
      </w:pPr>
      <w:r>
        <w:rPr>
          <w:rFonts w:eastAsia="Arial" w:cs="Arial" w:ascii="Arial" w:hAnsi="Arial"/>
        </w:rPr>
        <w:t>certidão conjunta relativa aos tributos federais e à Dívida Ativa da União;</w:t>
      </w:r>
    </w:p>
    <w:p>
      <w:pPr>
        <w:pStyle w:val="normal11"/>
        <w:widowControl/>
        <w:numPr>
          <w:ilvl w:val="1"/>
          <w:numId w:val="39"/>
        </w:numPr>
        <w:spacing w:lineRule="auto" w:line="360"/>
        <w:ind w:firstLine="527" w:left="566"/>
        <w:jc w:val="both"/>
        <w:rPr>
          <w:rFonts w:ascii="Arial" w:hAnsi="Arial" w:eastAsia="Arial" w:cs="Arial"/>
        </w:rPr>
      </w:pPr>
      <w:r>
        <w:rPr>
          <w:rFonts w:eastAsia="Arial" w:cs="Arial" w:ascii="Arial" w:hAnsi="Arial"/>
        </w:rPr>
        <w:t xml:space="preserve">certidões que comprovem a regularidade perante a Fazenda Municipal ou Distrital do domicílio ou sede do </w:t>
      </w:r>
      <w:r>
        <w:rPr>
          <w:rFonts w:eastAsia="Arial" w:cs="Arial" w:ascii="Arial" w:hAnsi="Arial"/>
          <w:b/>
        </w:rPr>
        <w:t>CONTRATADO</w:t>
      </w:r>
      <w:r>
        <w:rPr>
          <w:rFonts w:eastAsia="Arial" w:cs="Arial" w:ascii="Arial" w:hAnsi="Arial"/>
        </w:rPr>
        <w:t xml:space="preserve">; </w:t>
      </w:r>
    </w:p>
    <w:p>
      <w:pPr>
        <w:pStyle w:val="normal11"/>
        <w:widowControl/>
        <w:numPr>
          <w:ilvl w:val="1"/>
          <w:numId w:val="39"/>
        </w:numPr>
        <w:spacing w:lineRule="auto" w:line="360"/>
        <w:ind w:firstLine="527" w:left="566"/>
        <w:jc w:val="both"/>
        <w:rPr>
          <w:rFonts w:ascii="Arial" w:hAnsi="Arial" w:eastAsia="Arial" w:cs="Arial"/>
        </w:rPr>
      </w:pPr>
      <w:r>
        <w:rPr>
          <w:rFonts w:eastAsia="Arial" w:cs="Arial" w:ascii="Arial" w:hAnsi="Arial"/>
        </w:rPr>
        <w:t>Certidão de Regularidade do FGTS – CRF; e</w:t>
      </w:r>
    </w:p>
    <w:p>
      <w:pPr>
        <w:pStyle w:val="normal11"/>
        <w:widowControl/>
        <w:numPr>
          <w:ilvl w:val="1"/>
          <w:numId w:val="39"/>
        </w:numPr>
        <w:spacing w:lineRule="auto" w:line="360"/>
        <w:ind w:firstLine="527" w:left="566"/>
        <w:jc w:val="both"/>
        <w:rPr>
          <w:rFonts w:ascii="Arial" w:hAnsi="Arial" w:eastAsia="Arial" w:cs="Arial"/>
        </w:rPr>
      </w:pPr>
      <w:r>
        <w:rPr>
          <w:rFonts w:eastAsia="Arial" w:cs="Arial" w:ascii="Arial" w:hAnsi="Arial"/>
        </w:rPr>
        <w:t xml:space="preserve">Certidão Negativa de Débitos Trabalhistas – CNDT.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rFonts w:eastAsia="Arial" w:cs="Arial" w:ascii="Arial" w:hAnsi="Arial"/>
          <w:b/>
        </w:rPr>
        <w:t>CONTRATANTE</w:t>
      </w:r>
      <w:r>
        <w:rPr>
          <w:rFonts w:eastAsia="Arial" w:cs="Arial" w:ascii="Arial" w:hAnsi="Arial"/>
        </w:rPr>
        <w:t xml:space="preserve">;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Comunicar ao Fiscal do contrato, no prazo de 24 (vinte e quatro) horas, qualquer ocorrência anormal ou acidente que se verifique no local dos serviços;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Prestar todo esclarecimento ou informação solicitada pelo </w:t>
      </w:r>
      <w:r>
        <w:rPr>
          <w:rFonts w:eastAsia="Arial" w:cs="Arial" w:ascii="Arial" w:hAnsi="Arial"/>
          <w:b/>
        </w:rPr>
        <w:t xml:space="preserve">CONTRATANTE </w:t>
      </w:r>
      <w:r>
        <w:rPr>
          <w:rFonts w:eastAsia="Arial" w:cs="Arial" w:ascii="Arial" w:hAnsi="Arial"/>
        </w:rPr>
        <w:t>ou por seus prepostos, garantindo-lhes o acesso, a qualquer tempo, ao local dos trabalhos, bem como aos documentos relativos à execução do empreendimento;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Paralisar, por determinação do </w:t>
      </w:r>
      <w:r>
        <w:rPr>
          <w:rFonts w:eastAsia="Arial" w:cs="Arial" w:ascii="Arial" w:hAnsi="Arial"/>
          <w:b/>
        </w:rPr>
        <w:t>CONTRATANTE</w:t>
      </w:r>
      <w:r>
        <w:rPr>
          <w:rFonts w:eastAsia="Arial" w:cs="Arial" w:ascii="Arial" w:hAnsi="Arial"/>
        </w:rPr>
        <w:t>, qualquer atividade que não esteja sendo executada de acordo com a boa técnica ou que ponha em risco a segurança de pessoas ou bens de terceiros;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Promover a guarda, manutenção e vigilância de materiais, ferramentas, e tudo o que for necessário à execução do objeto, durante a vigência do contrato;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Submeter previamente, por escrito, ao </w:t>
      </w:r>
      <w:r>
        <w:rPr>
          <w:rFonts w:eastAsia="Arial" w:cs="Arial" w:ascii="Arial" w:hAnsi="Arial"/>
          <w:b/>
        </w:rPr>
        <w:t>CONTRATANTE</w:t>
      </w:r>
      <w:r>
        <w:rPr>
          <w:rFonts w:eastAsia="Arial" w:cs="Arial" w:ascii="Arial" w:hAnsi="Arial"/>
        </w:rPr>
        <w:t>, para análise e aprovação, quaisquer mudanças nos métodos executivos que fujam às especificações do memorial descritivo ou instrumento congênere;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Manter durante toda a vigência do contrato, em compatibilidade com as obrigações assumidas, todas as condições exigidas para habilitação na licitação;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Cumprir, durante todo o período de execução do contrato, a reserva de cargos prevista em lei para pessoa com deficiência, para reabilitado da Previdência Social ou para aprendiz, bem como as reservas de cargos previstas na legislação (Art. 116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Comprovar a reserva de cargos a que se refere a cláusula acima, no prazo fixado pelo fiscal do contrato, com a indicação dos empregados que preencheram as referidas vagas (Art. 116, parágrafo único,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Guardar sigilo sobre todas as informações obtidas em decorrência do cumprimento do contrato;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Cumprir, além dos postulados legais vigentes de âmbito federal, estadual ou municipal, as normas de segurança do </w:t>
      </w:r>
      <w:r>
        <w:rPr>
          <w:rFonts w:eastAsia="Arial" w:cs="Arial" w:ascii="Arial" w:hAnsi="Arial"/>
          <w:b/>
        </w:rPr>
        <w:t>CONTRATANTE</w:t>
      </w:r>
      <w:r>
        <w:rPr>
          <w:rFonts w:eastAsia="Arial" w:cs="Arial" w:ascii="Arial" w:hAnsi="Arial"/>
        </w:rPr>
        <w:t>;</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Manter os empregados nos horários predeterminados pelo </w:t>
      </w:r>
      <w:r>
        <w:rPr>
          <w:rFonts w:eastAsia="Arial" w:cs="Arial" w:ascii="Arial" w:hAnsi="Arial"/>
          <w:b/>
        </w:rPr>
        <w:t>CONTRATANTE</w:t>
      </w:r>
      <w:r>
        <w:rPr>
          <w:rFonts w:eastAsia="Arial" w:cs="Arial" w:ascii="Arial" w:hAnsi="Arial"/>
        </w:rPr>
        <w:t>.</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Apresentar os empregados devidamente uniformizados e identificados por meio de crachá.</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Apresentar ao </w:t>
      </w:r>
      <w:r>
        <w:rPr>
          <w:rFonts w:eastAsia="Arial" w:cs="Arial" w:ascii="Arial" w:hAnsi="Arial"/>
          <w:b/>
        </w:rPr>
        <w:t>CONTRATANTE</w:t>
      </w:r>
      <w:r>
        <w:rPr>
          <w:rFonts w:eastAsia="Arial" w:cs="Arial" w:ascii="Arial" w:hAnsi="Arial"/>
        </w:rPr>
        <w:t>, quando for o caso, a relação nominal dos empregados que adentrarão no órgão para a execução do serviço.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Observar os preceitos da legislação sobre a jornada de trabalho, conforme a categoria profissional.</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Atender às solicitações do </w:t>
      </w:r>
      <w:r>
        <w:rPr>
          <w:rFonts w:eastAsia="Arial" w:cs="Arial" w:ascii="Arial" w:hAnsi="Arial"/>
          <w:b/>
        </w:rPr>
        <w:t xml:space="preserve">CONTRATANTE </w:t>
      </w:r>
      <w:r>
        <w:rPr>
          <w:rFonts w:eastAsia="Arial" w:cs="Arial" w:ascii="Arial" w:hAnsi="Arial"/>
        </w:rPr>
        <w:t>quanto à substituição dos empregados alocados, no prazo fixado pela fiscalização do contrato, nos casos em que ficar constatado descumprimento das obrigações relativas à execução do serviço, conforme descrito nas especificações do objeto.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Instruir seus empregados quanto à necessidade de acatar as Normas Internas do </w:t>
      </w:r>
      <w:r>
        <w:rPr>
          <w:rFonts w:eastAsia="Arial" w:cs="Arial" w:ascii="Arial" w:hAnsi="Arial"/>
          <w:b/>
        </w:rPr>
        <w:t>CONTRATANTE</w:t>
      </w:r>
      <w:r>
        <w:rPr>
          <w:rFonts w:eastAsia="Arial" w:cs="Arial" w:ascii="Arial" w:hAnsi="Arial"/>
        </w:rPr>
        <w:t>.</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Instruir seus empregados a respeito das atividades a serem desempenhadas, alertando-os a não executarem atividades não abrangidas pelo contrato, devendo o </w:t>
      </w:r>
      <w:r>
        <w:rPr>
          <w:rFonts w:eastAsia="Arial" w:cs="Arial" w:ascii="Arial" w:hAnsi="Arial"/>
          <w:b/>
        </w:rPr>
        <w:t xml:space="preserve">CONTRATADO </w:t>
      </w:r>
      <w:r>
        <w:rPr>
          <w:rFonts w:eastAsia="Arial" w:cs="Arial" w:ascii="Arial" w:hAnsi="Arial"/>
        </w:rPr>
        <w:t xml:space="preserve">relatar ao </w:t>
      </w:r>
      <w:r>
        <w:rPr>
          <w:rFonts w:eastAsia="Arial" w:cs="Arial" w:ascii="Arial" w:hAnsi="Arial"/>
          <w:b/>
        </w:rPr>
        <w:t xml:space="preserve">CONTRATANTE </w:t>
      </w:r>
      <w:r>
        <w:rPr>
          <w:rFonts w:eastAsia="Arial" w:cs="Arial" w:ascii="Arial" w:hAnsi="Arial"/>
        </w:rPr>
        <w:t>toda e qualquer ocorrência neste sentido, a fim de evitar desvio de função.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Instruir os seus empregados, quanto à prevenção de incêndios nas áreas do </w:t>
      </w:r>
      <w:r>
        <w:rPr>
          <w:rFonts w:eastAsia="Arial" w:cs="Arial" w:ascii="Arial" w:hAnsi="Arial"/>
          <w:b/>
        </w:rPr>
        <w:t>CONTRATANTE</w:t>
      </w:r>
      <w:r>
        <w:rPr>
          <w:rFonts w:eastAsia="Arial" w:cs="Arial" w:ascii="Arial" w:hAnsi="Arial"/>
        </w:rPr>
        <w:t>.</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Adotar as providências e precauções necessárias, inclusive consulta nos respectivos órgãos, se necessário for, a fim de que não venham a ser danificadas as redes hidrossanitárias, elétricas e de comunicação.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Estar registrada ou inscrita no Conselho Profissional competente, conforme as áreas de atuação previstas no Termo de Referência, em plena validade.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Obter junto aos órgãos competentes, conforme o caso, as licenças necessárias e demais documentos e autorizações exigíveis, na forma da legislação aplicável.</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Utilizar somente matéria-prima florestal procedente, nos termos do art. 11 do Decreto n° 5.975, de 2006 e da Resolução do CONAMA nº 310, de 05/07/2002, de: </w:t>
      </w:r>
    </w:p>
    <w:p>
      <w:pPr>
        <w:pStyle w:val="normal11"/>
        <w:widowControl/>
        <w:numPr>
          <w:ilvl w:val="1"/>
          <w:numId w:val="30"/>
        </w:numPr>
        <w:spacing w:lineRule="auto" w:line="360"/>
        <w:ind w:firstLine="527" w:left="566"/>
        <w:jc w:val="both"/>
        <w:rPr>
          <w:rFonts w:ascii="Arial" w:hAnsi="Arial" w:eastAsia="Arial" w:cs="Arial"/>
          <w:i/>
          <w:i/>
        </w:rPr>
      </w:pPr>
      <w:r>
        <w:rPr>
          <w:rFonts w:eastAsia="Arial" w:cs="Arial" w:ascii="Arial" w:hAnsi="Arial"/>
          <w:i/>
        </w:rPr>
        <w:t>manejo florestal, realizado por meio de Plano de Manejo Florestal Sustentável - PMFS devidamente aprovado pelo órgão competente do Sistema Nacional do Meio Ambiente - SISNAMA;</w:t>
      </w:r>
    </w:p>
    <w:p>
      <w:pPr>
        <w:pStyle w:val="normal11"/>
        <w:widowControl/>
        <w:numPr>
          <w:ilvl w:val="1"/>
          <w:numId w:val="30"/>
        </w:numPr>
        <w:spacing w:lineRule="auto" w:line="360"/>
        <w:ind w:firstLine="527" w:left="566"/>
        <w:jc w:val="both"/>
        <w:rPr>
          <w:rFonts w:ascii="Arial" w:hAnsi="Arial" w:eastAsia="Arial" w:cs="Arial"/>
          <w:i/>
          <w:i/>
        </w:rPr>
      </w:pPr>
      <w:r>
        <w:rPr>
          <w:rFonts w:eastAsia="Arial" w:cs="Arial" w:ascii="Arial" w:hAnsi="Arial"/>
          <w:i/>
        </w:rPr>
        <w:t xml:space="preserve">supressão da vegetação natural, devidamente autorizada pelo órgão competente do Sistema Nacional do Meio Ambiente - SISNAMA; </w:t>
      </w:r>
    </w:p>
    <w:p>
      <w:pPr>
        <w:pStyle w:val="normal11"/>
        <w:widowControl/>
        <w:numPr>
          <w:ilvl w:val="1"/>
          <w:numId w:val="30"/>
        </w:numPr>
        <w:spacing w:lineRule="auto" w:line="360"/>
        <w:ind w:firstLine="527" w:left="566"/>
        <w:jc w:val="both"/>
        <w:rPr>
          <w:rFonts w:ascii="Arial" w:hAnsi="Arial" w:eastAsia="Arial" w:cs="Arial"/>
          <w:i/>
          <w:i/>
        </w:rPr>
      </w:pPr>
      <w:r>
        <w:rPr>
          <w:rFonts w:eastAsia="Arial" w:cs="Arial" w:ascii="Arial" w:hAnsi="Arial"/>
          <w:i/>
        </w:rPr>
        <w:t xml:space="preserve">florestas plantadas; e </w:t>
      </w:r>
    </w:p>
    <w:p>
      <w:pPr>
        <w:pStyle w:val="normal11"/>
        <w:widowControl/>
        <w:numPr>
          <w:ilvl w:val="1"/>
          <w:numId w:val="30"/>
        </w:numPr>
        <w:spacing w:lineRule="auto" w:line="360"/>
        <w:ind w:firstLine="527" w:left="566"/>
        <w:jc w:val="both"/>
        <w:rPr>
          <w:rFonts w:ascii="Arial" w:hAnsi="Arial" w:eastAsia="Arial" w:cs="Arial"/>
          <w:i/>
          <w:i/>
        </w:rPr>
      </w:pPr>
      <w:r>
        <w:rPr>
          <w:rFonts w:eastAsia="Arial" w:cs="Arial" w:ascii="Arial" w:hAnsi="Arial"/>
          <w:i/>
        </w:rPr>
        <w:t>outras fontes de biomassa florestal, definidas em normas específicas do órgão ambiental competente.</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Comprovar a procedência legal dos produtos ou subprodutos florestais utilizados em cada etapa da execução contratual, por ocasião da respectiva medição, mediante a apresentação dos seguintes documentos, conforme o caso: </w:t>
      </w:r>
    </w:p>
    <w:p>
      <w:pPr>
        <w:pStyle w:val="normal11"/>
        <w:widowControl/>
        <w:numPr>
          <w:ilvl w:val="1"/>
          <w:numId w:val="35"/>
        </w:numPr>
        <w:spacing w:lineRule="auto" w:line="360"/>
        <w:ind w:firstLine="527" w:left="566"/>
        <w:jc w:val="both"/>
        <w:rPr>
          <w:rFonts w:ascii="Arial" w:hAnsi="Arial" w:eastAsia="Arial" w:cs="Arial"/>
          <w:i/>
          <w:i/>
        </w:rPr>
      </w:pPr>
      <w:r>
        <w:rPr>
          <w:rFonts w:eastAsia="Arial" w:cs="Arial" w:ascii="Arial" w:hAnsi="Arial"/>
          <w:i/>
        </w:rPr>
        <w:t xml:space="preserve">Cópias autenticadas das notas fiscais de aquisição dos produtos ou subprodutos florestais; </w:t>
      </w:r>
    </w:p>
    <w:p>
      <w:pPr>
        <w:pStyle w:val="normal11"/>
        <w:widowControl/>
        <w:numPr>
          <w:ilvl w:val="1"/>
          <w:numId w:val="35"/>
        </w:numPr>
        <w:spacing w:lineRule="auto" w:line="360"/>
        <w:ind w:firstLine="527" w:left="566"/>
        <w:jc w:val="both"/>
        <w:rPr>
          <w:rFonts w:ascii="Arial" w:hAnsi="Arial" w:eastAsia="Arial" w:cs="Arial"/>
          <w:i/>
          <w:i/>
        </w:rPr>
      </w:pPr>
      <w:r>
        <w:rPr>
          <w:rFonts w:eastAsia="Arial" w:cs="Arial" w:ascii="Arial" w:hAnsi="Arial"/>
          <w:i/>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 17, inciso II, da Lei n.° 6.938, de 1981, e legislação correlata;</w:t>
      </w:r>
    </w:p>
    <w:p>
      <w:pPr>
        <w:pStyle w:val="normal11"/>
        <w:widowControl/>
        <w:numPr>
          <w:ilvl w:val="1"/>
          <w:numId w:val="35"/>
        </w:numPr>
        <w:spacing w:lineRule="auto" w:line="360"/>
        <w:ind w:firstLine="527" w:left="566"/>
        <w:jc w:val="both"/>
        <w:rPr>
          <w:rFonts w:ascii="Arial" w:hAnsi="Arial" w:eastAsia="Arial" w:cs="Arial"/>
          <w:i/>
          <w:i/>
        </w:rPr>
      </w:pPr>
      <w:r>
        <w:rPr>
          <w:rFonts w:eastAsia="Arial" w:cs="Arial" w:ascii="Arial" w:hAnsi="Arial"/>
          <w:i/>
        </w:rPr>
        <w:t>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pPr>
        <w:pStyle w:val="normal11"/>
        <w:widowControl/>
        <w:numPr>
          <w:ilvl w:val="1"/>
          <w:numId w:val="35"/>
        </w:numPr>
        <w:spacing w:lineRule="auto" w:line="360"/>
        <w:ind w:firstLine="527" w:left="566"/>
        <w:jc w:val="both"/>
        <w:rPr>
          <w:rFonts w:ascii="Arial" w:hAnsi="Arial" w:eastAsia="Arial" w:cs="Arial"/>
          <w:i/>
          <w:i/>
        </w:rPr>
      </w:pPr>
      <w:r>
        <w:rPr>
          <w:rFonts w:eastAsia="Arial" w:cs="Arial" w:ascii="Arial" w:hAnsi="Arial"/>
          <w:i/>
        </w:rPr>
        <w:t xml:space="preserve">Caso os produtos ou subprodutos florestais utilizados na execução contratual tenham origem em Estado que possua documento de controle próprio, o </w:t>
      </w:r>
      <w:r>
        <w:rPr>
          <w:rFonts w:eastAsia="Arial" w:cs="Arial" w:ascii="Arial" w:hAnsi="Arial"/>
          <w:b/>
          <w:i/>
        </w:rPr>
        <w:t xml:space="preserve">CONTRATADO </w:t>
      </w:r>
      <w:r>
        <w:rPr>
          <w:rFonts w:eastAsia="Arial" w:cs="Arial" w:ascii="Arial" w:hAnsi="Arial"/>
          <w:i/>
        </w:rPr>
        <w:t>deverá apresentá-lo, em complementação ao DOF, a fim de demonstrar a regularidade do transporte e armazenamento nos limites do território estadual.</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Observar as diretrizes, critérios e procedimentos para a gestão dos resíduos da construção civil estabelecidos na Resolução nº 307, de 05/07/2002, com as alterações posteriores, do Conselho Nacional de Meio Ambiente – CONAMA e no Decreto Municipal de Florianópolis nº 17.910, de 22/08/2017, nos seguintes termos: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Nos termos dos artigos 3° e 10° da Resolução CONAMA n° 307, de 05/07/2002, o </w:t>
      </w:r>
      <w:r>
        <w:rPr>
          <w:rFonts w:eastAsia="Arial" w:cs="Arial" w:ascii="Arial" w:hAnsi="Arial"/>
          <w:b/>
        </w:rPr>
        <w:t xml:space="preserve">CONTRATADO </w:t>
      </w:r>
      <w:r>
        <w:rPr>
          <w:rFonts w:eastAsia="Arial" w:cs="Arial" w:ascii="Arial" w:hAnsi="Arial"/>
        </w:rPr>
        <w:t>deverá providenciar a destinação ambientalmente adequada dos resíduos da construção civil originários da contratação, obedecendo, no que couber, aos seguintes procedimentos:</w:t>
      </w:r>
    </w:p>
    <w:p>
      <w:pPr>
        <w:pStyle w:val="normal11"/>
        <w:widowControl/>
        <w:numPr>
          <w:ilvl w:val="3"/>
          <w:numId w:val="4"/>
        </w:numPr>
        <w:spacing w:lineRule="auto" w:line="360"/>
        <w:ind w:firstLine="697" w:left="850"/>
        <w:jc w:val="both"/>
        <w:rPr>
          <w:rFonts w:ascii="Arial" w:hAnsi="Arial" w:eastAsia="Arial" w:cs="Arial"/>
        </w:rPr>
      </w:pPr>
      <w:r>
        <w:rPr>
          <w:rFonts w:eastAsia="Arial" w:cs="Arial" w:ascii="Arial" w:hAnsi="Arial"/>
        </w:rPr>
        <w:t xml:space="preserve">Resíduos Classe A (reutilizáveis ou recicláveis como agregados): deverão ser reutilizados ou reciclados na forma de agregados, ou encaminhados a aterros de resíduos classe A de preservação de material para usos futuros. </w:t>
      </w:r>
    </w:p>
    <w:p>
      <w:pPr>
        <w:pStyle w:val="normal11"/>
        <w:widowControl/>
        <w:numPr>
          <w:ilvl w:val="3"/>
          <w:numId w:val="4"/>
        </w:numPr>
        <w:spacing w:lineRule="auto" w:line="360"/>
        <w:ind w:firstLine="697" w:left="850"/>
        <w:jc w:val="both"/>
        <w:rPr>
          <w:rFonts w:ascii="Arial" w:hAnsi="Arial" w:eastAsia="Arial" w:cs="Arial"/>
        </w:rPr>
      </w:pPr>
      <w:r>
        <w:rPr>
          <w:rFonts w:eastAsia="Arial" w:cs="Arial" w:ascii="Arial" w:hAnsi="Arial"/>
        </w:rPr>
        <w:t>Resíduos Classe B (recicláveis para outras destinações): deverão ser reutilizados, reciclados ou encaminhados a áreas de armazenamento temporário, sendo dispostos de modo a permitir a sua utilização ou reciclagem futura.</w:t>
      </w:r>
    </w:p>
    <w:p>
      <w:pPr>
        <w:pStyle w:val="normal11"/>
        <w:widowControl/>
        <w:numPr>
          <w:ilvl w:val="3"/>
          <w:numId w:val="4"/>
        </w:numPr>
        <w:spacing w:lineRule="auto" w:line="360"/>
        <w:ind w:firstLine="697" w:left="850"/>
        <w:jc w:val="both"/>
        <w:rPr>
          <w:rFonts w:ascii="Arial" w:hAnsi="Arial" w:eastAsia="Arial" w:cs="Arial"/>
        </w:rPr>
      </w:pPr>
      <w:r>
        <w:rPr>
          <w:rFonts w:eastAsia="Arial" w:cs="Arial" w:ascii="Arial" w:hAnsi="Arial"/>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11"/>
        <w:widowControl/>
        <w:numPr>
          <w:ilvl w:val="3"/>
          <w:numId w:val="4"/>
        </w:numPr>
        <w:spacing w:lineRule="auto" w:line="360"/>
        <w:ind w:firstLine="697" w:left="850"/>
        <w:jc w:val="both"/>
        <w:rPr>
          <w:rFonts w:ascii="Arial" w:hAnsi="Arial" w:eastAsia="Arial" w:cs="Arial"/>
        </w:rPr>
      </w:pPr>
      <w:r>
        <w:rPr>
          <w:rFonts w:eastAsia="Arial" w:cs="Arial" w:ascii="Arial" w:hAnsi="Arial"/>
        </w:rPr>
        <w:t>Resíduos Classe D (perigosos, contaminados ou prejudiciais à saúde): deverão ser armazenados, transportados, reutilizados e destinados em conformidade com as normas técnicas específicas.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Em nenhuma hipótese o </w:t>
      </w:r>
      <w:r>
        <w:rPr>
          <w:rFonts w:eastAsia="Arial" w:cs="Arial" w:ascii="Arial" w:hAnsi="Arial"/>
          <w:b/>
        </w:rPr>
        <w:t xml:space="preserve">CONTRATADO </w:t>
      </w:r>
      <w:r>
        <w:rPr>
          <w:rFonts w:eastAsia="Arial" w:cs="Arial" w:ascii="Arial" w:hAnsi="Arial"/>
        </w:rPr>
        <w:t>poderá dispor os resíduos originários da contratação em aterros de resíduos sólidos urbanos, áreas de “bota fora”, encostas, corpos d'água, lotes vagos e áreas protegidas por Lei, bem como em áreas não licenciadas.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Para fins de fiscalização do fiel cumprimento do Programa Municipal de Gerenciamento de Resíduos da Construção Civil, ou do Projeto de Gerenciamento de Resíduos da Construção Civil, conforme o caso, o </w:t>
      </w:r>
      <w:r>
        <w:rPr>
          <w:rFonts w:eastAsia="Arial" w:cs="Arial" w:ascii="Arial" w:hAnsi="Arial"/>
          <w:b/>
        </w:rPr>
        <w:t xml:space="preserve">CONTRATADO </w:t>
      </w:r>
      <w:r>
        <w:rPr>
          <w:rFonts w:eastAsia="Arial" w:cs="Arial" w:ascii="Arial" w:hAnsi="Arial"/>
        </w:rPr>
        <w:t>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Observar as seguintes diretrizes de caráter ambiental:</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Na execução contratual, conforme o caso, a emissão de ruídos não poderá ultrapassar os níveis considerados aceitáveis pela Norma NBR-10.151-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Responder por qualquer acidente de trabalho na execução dos serviços, por uso indevido de patentes registradas em nome de terceiros, por danos resultantes de defeitos ou incorreções dos serviços ou dos bens do </w:t>
      </w:r>
      <w:r>
        <w:rPr>
          <w:rFonts w:eastAsia="Arial" w:cs="Arial" w:ascii="Arial" w:hAnsi="Arial"/>
          <w:b/>
        </w:rPr>
        <w:t>CONTRATANTE</w:t>
      </w:r>
      <w:r>
        <w:rPr>
          <w:rFonts w:eastAsia="Arial" w:cs="Arial" w:ascii="Arial" w:hAnsi="Arial"/>
        </w:rPr>
        <w:t>, de seus funcionários ou de terceiros, ainda que ocorridos em via pública junto ao serviço de engenharia.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TERCEIRA – GARANTIA DE EXECUÇÃO (Art. 92, XII, da Lei n.º 14.133/2021)</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A contratação conta com garantia de execução, nos moldes do art. 96 da Lei nº 14.133/2021, na modalidade XXXXXX, em valor correspondente a X% (XXXX por cento) do valor inicial/total/anual do contrato.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CONTRATADO </w:t>
      </w:r>
      <w:r>
        <w:rPr>
          <w:rFonts w:eastAsia="Arial" w:cs="Arial" w:ascii="Arial" w:hAnsi="Arial"/>
          <w:i/>
        </w:rPr>
        <w:t xml:space="preserve">apresentará, no prazo máximo de 10 (dez) dias úteis, prorrogáveis por igual período, a critério do </w:t>
      </w:r>
      <w:r>
        <w:rPr>
          <w:rFonts w:eastAsia="Arial" w:cs="Arial" w:ascii="Arial" w:hAnsi="Arial"/>
          <w:b/>
          <w:i/>
        </w:rPr>
        <w:t>CONTRATANTE</w:t>
      </w:r>
      <w:r>
        <w:rPr>
          <w:rFonts w:eastAsia="Arial" w:cs="Arial" w:ascii="Arial" w:hAnsi="Arial"/>
          <w:i/>
        </w:rPr>
        <w:t>, contado da assinatura do contrato, comprovante de prestação de garantia, podendo optar por caução em dinheiro ou títulos da dívida pública ou, ainda, pela fiança bancária, em valor correspondente a X% (XXXX por cento) do valor inicial/total/anual do contrato.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A garantia assegurará, qualquer que seja a modalidade escolhida, o pagamento de:</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Prejuízos advindos do não cumprimento do objeto do contrato e do não adimplemento das demais obrigações nele previstas; </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Multas moratórias e punitivas aplicadas pela Administração à contratada; e  </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Obrigações trabalhistas e previdenciárias de qualquer natureza e para com o FGTS, não adimplidas pelo </w:t>
      </w:r>
      <w:r>
        <w:rPr>
          <w:rFonts w:eastAsia="Arial" w:cs="Arial" w:ascii="Arial" w:hAnsi="Arial"/>
          <w:b/>
          <w:i/>
        </w:rPr>
        <w:t>CONTRATADO</w:t>
      </w:r>
      <w:r>
        <w:rPr>
          <w:rFonts w:eastAsia="Arial" w:cs="Arial" w:ascii="Arial" w:hAnsi="Arial"/>
          <w:i/>
        </w:rPr>
        <w:t>, quando couber.</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A garantia em dinheiro deverá ser efetuada em favor do </w:t>
      </w:r>
      <w:r>
        <w:rPr>
          <w:rFonts w:eastAsia="Arial" w:cs="Arial" w:ascii="Arial" w:hAnsi="Arial"/>
          <w:b/>
          <w:i/>
        </w:rPr>
        <w:t>CONTRATANTE</w:t>
      </w:r>
      <w:r>
        <w:rPr>
          <w:rFonts w:eastAsia="Arial" w:cs="Arial" w:ascii="Arial" w:hAnsi="Arial"/>
          <w:i/>
        </w:rPr>
        <w:t>, em conta específica na xxxxxxxxxxxxxxxxxxxxxxx, com correção monetária.</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No caso de garantia na modalidade de fiança bancária, deverá ser emitida por banco ou instituição financeira devidamente autorizada a operar no País pelo Banco Central do Brasil, e deverá constar expressa renúncia do fiador aos benefícios do art. 827 do Código Civil.</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No caso de alteração do valor do contrato, ou prorrogação de sua vigência, a garantia deverá ser ajustada ou renovada, seguindo os mesmos parâmetros utilizados quando da contratação. </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Se o valor da garantia for utilizado total ou parcialmente no pagamento de qualquer obrigação, o </w:t>
      </w:r>
      <w:r>
        <w:rPr>
          <w:rFonts w:eastAsia="Arial" w:cs="Arial" w:ascii="Arial" w:hAnsi="Arial"/>
          <w:b/>
          <w:i/>
        </w:rPr>
        <w:t xml:space="preserve">CONTRATADO </w:t>
      </w:r>
      <w:r>
        <w:rPr>
          <w:rFonts w:eastAsia="Arial" w:cs="Arial" w:ascii="Arial" w:hAnsi="Arial"/>
          <w:i/>
        </w:rPr>
        <w:t>obriga-se a fazer a respectiva reposição no prazo máximo de .......... (......) dias úteis, contados da data em que for notificada.</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CONTRATANTE </w:t>
      </w:r>
      <w:r>
        <w:rPr>
          <w:rFonts w:eastAsia="Arial" w:cs="Arial" w:ascii="Arial" w:hAnsi="Arial"/>
          <w:i/>
        </w:rPr>
        <w:t>executará a garantia na forma prevista na legislação que rege a matéria.</w:t>
      </w:r>
    </w:p>
    <w:p>
      <w:pPr>
        <w:pStyle w:val="normal11"/>
        <w:widowControl/>
        <w:numPr>
          <w:ilvl w:val="2"/>
          <w:numId w:val="4"/>
        </w:numPr>
        <w:spacing w:lineRule="auto" w:line="360"/>
        <w:ind w:firstLine="527" w:left="566"/>
        <w:jc w:val="both"/>
        <w:rPr>
          <w:rFonts w:ascii="Arial" w:hAnsi="Arial" w:eastAsia="Arial" w:cs="Arial"/>
          <w:i/>
          <w:i/>
        </w:rPr>
      </w:pPr>
      <w:r>
        <w:rPr>
          <w:rFonts w:eastAsia="Arial" w:cs="Arial" w:ascii="Arial" w:hAnsi="Arial"/>
          <w:i/>
        </w:rPr>
        <w:t xml:space="preserve">O emitente da garantia ofertada pelo </w:t>
      </w:r>
      <w:r>
        <w:rPr>
          <w:rFonts w:eastAsia="Arial" w:cs="Arial" w:ascii="Arial" w:hAnsi="Arial"/>
          <w:b/>
          <w:i/>
        </w:rPr>
        <w:t xml:space="preserve">CONTRATADO </w:t>
      </w:r>
      <w:r>
        <w:rPr>
          <w:rFonts w:eastAsia="Arial" w:cs="Arial" w:ascii="Arial" w:hAnsi="Arial"/>
          <w:i/>
        </w:rPr>
        <w:t xml:space="preserve">deverá ser notificado pelo </w:t>
      </w:r>
      <w:r>
        <w:rPr>
          <w:rFonts w:eastAsia="Arial" w:cs="Arial" w:ascii="Arial" w:hAnsi="Arial"/>
          <w:b/>
          <w:i/>
        </w:rPr>
        <w:t xml:space="preserve">CONTRATANTE </w:t>
      </w:r>
      <w:r>
        <w:rPr>
          <w:rFonts w:eastAsia="Arial" w:cs="Arial" w:ascii="Arial" w:hAnsi="Arial"/>
          <w:i/>
        </w:rPr>
        <w:t>quanto ao início de processo administrativo para apuração de descumprimento de cláusulas contratuais (art. 137, § 4º, da Lei n.º 14.133/2021).</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Extinguir-se-á a garantia com a restituição da apólice, carta fiança ou autorização para a liberação de importâncias depositadas em dinheiro a título de garantia, acompanhada de declaração do </w:t>
      </w:r>
      <w:r>
        <w:rPr>
          <w:rFonts w:eastAsia="Arial" w:cs="Arial" w:ascii="Arial" w:hAnsi="Arial"/>
          <w:b/>
          <w:i/>
        </w:rPr>
        <w:t>CONTRATANTE</w:t>
      </w:r>
      <w:r>
        <w:rPr>
          <w:rFonts w:eastAsia="Arial" w:cs="Arial" w:ascii="Arial" w:hAnsi="Arial"/>
          <w:i/>
        </w:rPr>
        <w:t xml:space="preserve">, mediante termo circunstanciado, de que o </w:t>
      </w:r>
      <w:r>
        <w:rPr>
          <w:rFonts w:eastAsia="Arial" w:cs="Arial" w:ascii="Arial" w:hAnsi="Arial"/>
          <w:b/>
          <w:i/>
        </w:rPr>
        <w:t xml:space="preserve">CONTRATADO </w:t>
      </w:r>
      <w:r>
        <w:rPr>
          <w:rFonts w:eastAsia="Arial" w:cs="Arial" w:ascii="Arial" w:hAnsi="Arial"/>
          <w:i/>
        </w:rPr>
        <w:t xml:space="preserve">cumpriu todas as cláusulas do contrato; </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A garantia somente será liberada ou restituída após a fiel execução do contrato ou após a sua extinção por culpa exclusiva da Administração e, quando em dinheiro, será atualizada monetariamente.</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O garantidor não é parte para figurar em processo administrativo instaurado pelo </w:t>
      </w:r>
      <w:r>
        <w:rPr>
          <w:rFonts w:eastAsia="Arial" w:cs="Arial" w:ascii="Arial" w:hAnsi="Arial"/>
          <w:b/>
          <w:i/>
        </w:rPr>
        <w:t xml:space="preserve">CONTRATANTE </w:t>
      </w:r>
      <w:r>
        <w:rPr>
          <w:rFonts w:eastAsia="Arial" w:cs="Arial" w:ascii="Arial" w:hAnsi="Arial"/>
          <w:i/>
        </w:rPr>
        <w:t xml:space="preserve">com o objetivo de apurar prejuízos e/ou aplicar sanções à contratada. </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O </w:t>
      </w:r>
      <w:r>
        <w:rPr>
          <w:rFonts w:eastAsia="Arial" w:cs="Arial" w:ascii="Arial" w:hAnsi="Arial"/>
          <w:b/>
          <w:i/>
        </w:rPr>
        <w:t xml:space="preserve">CONTRATADO </w:t>
      </w:r>
      <w:r>
        <w:rPr>
          <w:rFonts w:eastAsia="Arial" w:cs="Arial" w:ascii="Arial" w:hAnsi="Arial"/>
          <w:i/>
        </w:rPr>
        <w:t xml:space="preserve">autoriza o </w:t>
      </w:r>
      <w:r>
        <w:rPr>
          <w:rFonts w:eastAsia="Arial" w:cs="Arial" w:ascii="Arial" w:hAnsi="Arial"/>
          <w:b/>
          <w:i/>
        </w:rPr>
        <w:t xml:space="preserve">CONTRATANTE </w:t>
      </w:r>
      <w:r>
        <w:rPr>
          <w:rFonts w:eastAsia="Arial" w:cs="Arial" w:ascii="Arial" w:hAnsi="Arial"/>
          <w:i/>
        </w:rPr>
        <w:t>a reter, a qualquer tempo, a garantia, na forma prevista no Edital e neste Contrato.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 garantia de execução é independente de eventual garantia do produto ou serviço prevista especificamente no Termo de Referência.</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QUARTA – OBRIGAÇÕES PERTINENTES À LGPD</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Os dados obtidos somente poderão ser utilizados para as finalidades que justificaram seu acesso e de acordo com a boa-fé e com os princípios do art. 6º da LGPD.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É vedado o compartilhamento com terceiros dos dados obtidos fora das hipóteses permitidas em Lei.</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 Administração deverá ser informada no prazo de 5 (cinco) dias úteis sobre todos os contratos de sub-operação firmados ou que venham a ser celebrados pelo </w:t>
      </w:r>
      <w:r>
        <w:rPr>
          <w:rFonts w:eastAsia="Arial" w:cs="Arial" w:ascii="Arial" w:hAnsi="Arial"/>
          <w:b/>
        </w:rPr>
        <w:t>CONTRATADO</w:t>
      </w:r>
      <w:r>
        <w:rPr>
          <w:rFonts w:eastAsia="Arial" w:cs="Arial" w:ascii="Arial" w:hAnsi="Arial"/>
        </w:rPr>
        <w:t xml:space="preserve">.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Terminado o tratamento dos dados nos termos do art. 15 da LGPD, é dever do </w:t>
      </w:r>
      <w:r>
        <w:rPr>
          <w:rFonts w:eastAsia="Arial" w:cs="Arial" w:ascii="Arial" w:hAnsi="Arial"/>
          <w:b/>
        </w:rPr>
        <w:t xml:space="preserve">CONTRATADO </w:t>
      </w:r>
      <w:r>
        <w:rPr>
          <w:rFonts w:eastAsia="Arial" w:cs="Arial" w:ascii="Arial" w:hAnsi="Arial"/>
        </w:rPr>
        <w:t xml:space="preserve">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É dever do </w:t>
      </w:r>
      <w:r>
        <w:rPr>
          <w:rFonts w:eastAsia="Arial" w:cs="Arial" w:ascii="Arial" w:hAnsi="Arial"/>
          <w:b/>
        </w:rPr>
        <w:t xml:space="preserve">CONTRATADO </w:t>
      </w:r>
      <w:r>
        <w:rPr>
          <w:rFonts w:eastAsia="Arial" w:cs="Arial" w:ascii="Arial" w:hAnsi="Arial"/>
        </w:rPr>
        <w:t xml:space="preserve">orientar e treinar seus empregados sobre os deveres, requisitos e responsabilidades decorrentes da LGPD.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w:t>
      </w:r>
      <w:r>
        <w:rPr>
          <w:rFonts w:eastAsia="Arial" w:cs="Arial" w:ascii="Arial" w:hAnsi="Arial"/>
          <w:b/>
        </w:rPr>
        <w:t xml:space="preserve">CONTRATADO </w:t>
      </w:r>
      <w:r>
        <w:rPr>
          <w:rFonts w:eastAsia="Arial" w:cs="Arial" w:ascii="Arial" w:hAnsi="Arial"/>
        </w:rPr>
        <w:t>deverá exigir de sub operadores e subcontratados o cumprimento dos deveres da presente cláusula, permanecendo integralmente responsável por garantir sua observância.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w:t>
      </w:r>
      <w:r>
        <w:rPr>
          <w:rFonts w:eastAsia="Arial" w:cs="Arial" w:ascii="Arial" w:hAnsi="Arial"/>
          <w:b/>
        </w:rPr>
        <w:t xml:space="preserve">CONTRATANTE </w:t>
      </w:r>
      <w:r>
        <w:rPr>
          <w:rFonts w:eastAsia="Arial" w:cs="Arial" w:ascii="Arial" w:hAnsi="Arial"/>
        </w:rPr>
        <w:t xml:space="preserve">poderá realizar diligência para aferir o cumprimento dessa cláusula, devendo o </w:t>
      </w:r>
      <w:r>
        <w:rPr>
          <w:rFonts w:eastAsia="Arial" w:cs="Arial" w:ascii="Arial" w:hAnsi="Arial"/>
          <w:b/>
        </w:rPr>
        <w:t xml:space="preserve">CONTRATADO </w:t>
      </w:r>
      <w:r>
        <w:rPr>
          <w:rFonts w:eastAsia="Arial" w:cs="Arial" w:ascii="Arial" w:hAnsi="Arial"/>
        </w:rPr>
        <w:t xml:space="preserve">atender prontamente eventuais pedidos de comprovação formulados.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w:t>
      </w:r>
      <w:r>
        <w:rPr>
          <w:rFonts w:eastAsia="Arial" w:cs="Arial" w:ascii="Arial" w:hAnsi="Arial"/>
          <w:b/>
        </w:rPr>
        <w:t xml:space="preserve">CONTRATADO </w:t>
      </w:r>
      <w:r>
        <w:rPr>
          <w:rFonts w:eastAsia="Arial" w:cs="Arial" w:ascii="Arial" w:hAnsi="Arial"/>
        </w:rPr>
        <w:t xml:space="preserve">deverá prestar, no prazo fixado pelo </w:t>
      </w:r>
      <w:r>
        <w:rPr>
          <w:rFonts w:eastAsia="Arial" w:cs="Arial" w:ascii="Arial" w:hAnsi="Arial"/>
          <w:b/>
        </w:rPr>
        <w:t>CONTRATANTE</w:t>
      </w:r>
      <w:r>
        <w:rPr>
          <w:rFonts w:eastAsia="Arial" w:cs="Arial" w:ascii="Arial" w:hAnsi="Arial"/>
        </w:rPr>
        <w:t xml:space="preserve">, prorrogável justificadamente, quaisquer informações acerca dos dados pessoais para cumprimento da LGPD, inclusive quanto a eventual descarte realizado. </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Bancos de dados formados a partir de contratos administrativos, notadamente aqueles que se proponham a armazenar dados pessoais, devem ser mantidos em ambiente virtual controlado, com registro individual rastreável de tratamentos realizados (Art. 37 da LGPD), com cada acesso, data, horário e registro da finalidade, para efeito de responsabilização, em caso de eventuais omissões, desvios ou abusos.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Os referidos bancos de dados devem ser desenvolvidos em formato interoperável, a fim de garantir a reutilização desses dados pela Administração nas hipóteses previstas na LGPD.</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 contrato está sujeito a ser alterado nos procedimentos pertinentes ao tratamento de dados pessoais, quando indicado pela autoridade competente, em especial a ANPD por meio de opiniões técnicas ou recomendações, editadas na forma da LGPD.</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Os contratos e convênios de que trata o § 1º do art. 26 da LGPD deverão ser comunicados à autoridade nacional.</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QUINTA – INFRAÇÕES E SANÇÕES ADMINISTRATIVAS (Art. 92, XIV,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Comete infração administrativa, nos termos da Lei nº 14.133/2021, o </w:t>
      </w:r>
      <w:r>
        <w:rPr>
          <w:rFonts w:eastAsia="Arial" w:cs="Arial" w:ascii="Arial" w:hAnsi="Arial"/>
          <w:b/>
        </w:rPr>
        <w:t xml:space="preserve">CONTRATADO </w:t>
      </w:r>
      <w:r>
        <w:rPr>
          <w:rFonts w:eastAsia="Arial" w:cs="Arial" w:ascii="Arial" w:hAnsi="Arial"/>
        </w:rPr>
        <w:t>que:</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Der causa à inexecução parcial do contrato;</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Der causa à inexecução parcial do contrato que cause grave dano à Administração ou ao funcionamento dos serviços públicos ou ao interesse coletivo;</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Der causa à inexecução total do contrato;</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Ensejar o retardamento da execução ou da entrega do objeto da contratação sem motivo justificado;</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Apresentar documentação falsa ou prestar declaração falsa durante a execução do contrato;</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Praticar ato fraudulento na execução do contrato;</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Comportar-se de modo inidôneo ou cometer fraude de qualquer natureza;</w:t>
      </w:r>
    </w:p>
    <w:p>
      <w:pPr>
        <w:pStyle w:val="normal11"/>
        <w:widowControl/>
        <w:numPr>
          <w:ilvl w:val="1"/>
          <w:numId w:val="10"/>
        </w:numPr>
        <w:spacing w:lineRule="auto" w:line="360"/>
        <w:ind w:firstLine="527" w:left="566"/>
        <w:jc w:val="both"/>
        <w:rPr>
          <w:rFonts w:ascii="Arial" w:hAnsi="Arial" w:eastAsia="Arial" w:cs="Arial"/>
        </w:rPr>
      </w:pPr>
      <w:r>
        <w:rPr>
          <w:rFonts w:eastAsia="Arial" w:cs="Arial" w:ascii="Arial" w:hAnsi="Arial"/>
        </w:rPr>
        <w:t>Praticar ato lesivo previsto no art. 5º da Lei nº 12.846, de 1º de agosto de 2013.</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Serão aplicadas ao </w:t>
      </w:r>
      <w:r>
        <w:rPr>
          <w:rFonts w:eastAsia="Arial" w:cs="Arial" w:ascii="Arial" w:hAnsi="Arial"/>
          <w:b/>
        </w:rPr>
        <w:t xml:space="preserve">CONTRATADO </w:t>
      </w:r>
      <w:r>
        <w:rPr>
          <w:rFonts w:eastAsia="Arial" w:cs="Arial" w:ascii="Arial" w:hAnsi="Arial"/>
        </w:rPr>
        <w:t>que incorrer nas infrações acima descritas as seguintes sanções:</w:t>
      </w:r>
    </w:p>
    <w:p>
      <w:pPr>
        <w:pStyle w:val="normal11"/>
        <w:widowControl/>
        <w:numPr>
          <w:ilvl w:val="2"/>
          <w:numId w:val="42"/>
        </w:numPr>
        <w:spacing w:lineRule="auto" w:line="360"/>
        <w:ind w:firstLine="527" w:left="566"/>
        <w:jc w:val="both"/>
        <w:rPr>
          <w:rFonts w:ascii="Arial" w:hAnsi="Arial" w:eastAsia="Arial" w:cs="Arial"/>
        </w:rPr>
      </w:pPr>
      <w:r>
        <w:rPr>
          <w:rFonts w:eastAsia="Arial" w:cs="Arial" w:ascii="Arial" w:hAnsi="Arial"/>
          <w:b/>
        </w:rPr>
        <w:t>Advertência</w:t>
      </w:r>
      <w:r>
        <w:rPr>
          <w:rFonts w:eastAsia="Arial" w:cs="Arial" w:ascii="Arial" w:hAnsi="Arial"/>
        </w:rPr>
        <w:t xml:space="preserve">, quando o </w:t>
      </w:r>
      <w:r>
        <w:rPr>
          <w:rFonts w:eastAsia="Arial" w:cs="Arial" w:ascii="Arial" w:hAnsi="Arial"/>
          <w:b/>
        </w:rPr>
        <w:t xml:space="preserve">CONTRATADO </w:t>
      </w:r>
      <w:r>
        <w:rPr>
          <w:rFonts w:eastAsia="Arial" w:cs="Arial" w:ascii="Arial" w:hAnsi="Arial"/>
        </w:rPr>
        <w:t>der causa à inexecução parcial do contrato, sempre que não se justificar a imposição de penalidade mais grave (Art. 156, §2º, da Lei nº 14.133/2021);</w:t>
      </w:r>
    </w:p>
    <w:p>
      <w:pPr>
        <w:pStyle w:val="normal11"/>
        <w:widowControl/>
        <w:numPr>
          <w:ilvl w:val="2"/>
          <w:numId w:val="42"/>
        </w:numPr>
        <w:spacing w:lineRule="auto" w:line="360"/>
        <w:ind w:firstLine="527" w:left="566"/>
        <w:jc w:val="both"/>
        <w:rPr>
          <w:rFonts w:ascii="Arial" w:hAnsi="Arial" w:eastAsia="Arial" w:cs="Arial"/>
        </w:rPr>
      </w:pPr>
      <w:r>
        <w:rPr>
          <w:rFonts w:eastAsia="Arial" w:cs="Arial" w:ascii="Arial" w:hAnsi="Arial"/>
          <w:b/>
        </w:rPr>
        <w:t>Impedimento de licitar e contratar</w:t>
      </w:r>
      <w:r>
        <w:rPr>
          <w:rFonts w:eastAsia="Arial" w:cs="Arial" w:ascii="Arial" w:hAnsi="Arial"/>
        </w:rPr>
        <w:t>, quando praticadas as condutas descritas nas alíneas “b”, “c” e “d” do subitem acima deste Contrato, sempre que não se justificar a imposição de penalidade mais grave (Art. 156, § 4º, da Lei nº 14.133/2021);</w:t>
      </w:r>
    </w:p>
    <w:p>
      <w:pPr>
        <w:pStyle w:val="normal11"/>
        <w:widowControl/>
        <w:numPr>
          <w:ilvl w:val="2"/>
          <w:numId w:val="42"/>
        </w:numPr>
        <w:spacing w:lineRule="auto" w:line="360"/>
        <w:ind w:firstLine="527" w:left="566"/>
        <w:jc w:val="both"/>
        <w:rPr>
          <w:rFonts w:ascii="Arial" w:hAnsi="Arial" w:eastAsia="Arial" w:cs="Arial"/>
        </w:rPr>
      </w:pPr>
      <w:r>
        <w:rPr>
          <w:rFonts w:eastAsia="Arial" w:cs="Arial" w:ascii="Arial" w:hAnsi="Arial"/>
          <w:b/>
        </w:rPr>
        <w:t>Declaração de inidoneidade para licitar e contratar</w:t>
      </w:r>
      <w:r>
        <w:rPr>
          <w:rFonts w:eastAsia="Arial" w:cs="Arial" w:ascii="Arial" w:hAnsi="Arial"/>
        </w:rPr>
        <w:t>, quando praticadas as condutas descritas nas alíneas “e”, “f”, “g” e “h” do subitem acima deste Contrato, bem como nas alíneas “b”, “c” e “d”, que justifiquem a imposição de penalidade mais grave (Art. 156, §5º, da Lei nº 14.133/2021).</w:t>
      </w:r>
    </w:p>
    <w:p>
      <w:pPr>
        <w:pStyle w:val="normal11"/>
        <w:widowControl/>
        <w:numPr>
          <w:ilvl w:val="2"/>
          <w:numId w:val="42"/>
        </w:numPr>
        <w:spacing w:lineRule="auto" w:line="360"/>
        <w:ind w:firstLine="527" w:left="566"/>
        <w:jc w:val="both"/>
        <w:rPr>
          <w:rFonts w:ascii="Arial" w:hAnsi="Arial" w:eastAsia="Arial" w:cs="Arial"/>
        </w:rPr>
      </w:pPr>
      <w:r>
        <w:rPr>
          <w:rFonts w:eastAsia="Arial" w:cs="Arial" w:ascii="Arial" w:hAnsi="Arial"/>
          <w:b/>
        </w:rPr>
        <w:t>Multa</w:t>
      </w:r>
      <w:r>
        <w:rPr>
          <w:rFonts w:eastAsia="Arial" w:cs="Arial" w:ascii="Arial" w:hAnsi="Arial"/>
        </w:rPr>
        <w:t>:</w:t>
      </w:r>
    </w:p>
    <w:p>
      <w:pPr>
        <w:pStyle w:val="normal11"/>
        <w:widowControl/>
        <w:numPr>
          <w:ilvl w:val="0"/>
          <w:numId w:val="7"/>
        </w:numPr>
        <w:spacing w:lineRule="auto" w:line="360"/>
        <w:ind w:firstLine="697" w:left="850"/>
        <w:jc w:val="both"/>
        <w:rPr>
          <w:rFonts w:ascii="Arial" w:hAnsi="Arial" w:eastAsia="Arial" w:cs="Arial"/>
        </w:rPr>
      </w:pPr>
      <w:r>
        <w:rPr>
          <w:rFonts w:eastAsia="Arial" w:cs="Arial" w:ascii="Arial" w:hAnsi="Arial"/>
        </w:rPr>
        <w:t>Moratória de .....% (....... por cento) por dia de atraso injustificado sobre o valor da parcela inadimplida, até o limite de xx (xxxx) dias;</w:t>
      </w:r>
    </w:p>
    <w:p>
      <w:pPr>
        <w:pStyle w:val="normal11"/>
        <w:widowControl/>
        <w:numPr>
          <w:ilvl w:val="0"/>
          <w:numId w:val="7"/>
        </w:numPr>
        <w:spacing w:lineRule="auto" w:line="360"/>
        <w:ind w:firstLine="697" w:left="850"/>
        <w:jc w:val="both"/>
        <w:rPr>
          <w:rFonts w:ascii="Arial" w:hAnsi="Arial" w:eastAsia="Arial" w:cs="Arial"/>
          <w:i/>
          <w:i/>
        </w:rPr>
      </w:pPr>
      <w:r>
        <w:rPr>
          <w:rFonts w:eastAsia="Arial" w:cs="Arial" w:ascii="Arial" w:hAnsi="Arial"/>
          <w:i/>
        </w:rPr>
        <w:t xml:space="preserve">Moratória de XX% (XXXXXXX por cento) do valor total do contrato por dia de atraso injustificado, até o máximo de XX% (XXXXX por cento), pela inobservância do prazo fixado para apresentação, suplementação ou reposição da garantia. </w:t>
      </w:r>
    </w:p>
    <w:p>
      <w:pPr>
        <w:pStyle w:val="normal11"/>
        <w:widowControl/>
        <w:numPr>
          <w:ilvl w:val="1"/>
          <w:numId w:val="6"/>
        </w:numPr>
        <w:spacing w:lineRule="auto" w:line="360"/>
        <w:ind w:firstLine="697" w:left="850"/>
        <w:jc w:val="both"/>
        <w:rPr>
          <w:rFonts w:ascii="Arial" w:hAnsi="Arial" w:eastAsia="Arial" w:cs="Arial"/>
          <w:i/>
          <w:i/>
        </w:rPr>
      </w:pPr>
      <w:r>
        <w:rPr>
          <w:rFonts w:eastAsia="Arial" w:cs="Arial" w:ascii="Arial" w:hAnsi="Arial"/>
          <w:i/>
        </w:rPr>
        <w:t xml:space="preserve">O atraso superior a xx (xxxxxxxxxx) dias autoriza a Administração a promover a extinção do contrato por descumprimento ou cumprimento irregular de suas cláusulas, conforme dispõe o inciso I, do art. 137, da Lei n.º 14.133/2021. </w:t>
      </w:r>
    </w:p>
    <w:p>
      <w:pPr>
        <w:pStyle w:val="normal11"/>
        <w:widowControl/>
        <w:numPr>
          <w:ilvl w:val="0"/>
          <w:numId w:val="7"/>
        </w:numPr>
        <w:spacing w:lineRule="auto" w:line="360"/>
        <w:ind w:firstLine="697" w:left="850"/>
        <w:jc w:val="both"/>
        <w:rPr>
          <w:rFonts w:ascii="Arial" w:hAnsi="Arial" w:eastAsia="Arial" w:cs="Arial"/>
        </w:rPr>
      </w:pPr>
      <w:r>
        <w:rPr>
          <w:rFonts w:eastAsia="Arial" w:cs="Arial" w:ascii="Arial" w:hAnsi="Arial"/>
        </w:rPr>
        <w:t>Compensatória, para as infrações descritas nas alíneas “e” a “h” do subitem 15.1, de....% a ...% do valor do Contrato.</w:t>
      </w:r>
    </w:p>
    <w:p>
      <w:pPr>
        <w:pStyle w:val="normal11"/>
        <w:widowControl/>
        <w:numPr>
          <w:ilvl w:val="0"/>
          <w:numId w:val="7"/>
        </w:numPr>
        <w:spacing w:lineRule="auto" w:line="360"/>
        <w:ind w:firstLine="697" w:left="850"/>
        <w:jc w:val="both"/>
        <w:rPr>
          <w:rFonts w:ascii="Arial" w:hAnsi="Arial" w:eastAsia="Arial" w:cs="Arial"/>
        </w:rPr>
      </w:pPr>
      <w:r>
        <w:rPr>
          <w:rFonts w:eastAsia="Arial" w:cs="Arial" w:ascii="Arial" w:hAnsi="Arial"/>
        </w:rPr>
        <w:t xml:space="preserve">Compensatória, para a inexecução total do contrato prevista na alínea “c” do subitem 12.1, de ....% a ...%  do valor do Contrato. </w:t>
      </w:r>
    </w:p>
    <w:p>
      <w:pPr>
        <w:pStyle w:val="normal11"/>
        <w:widowControl/>
        <w:numPr>
          <w:ilvl w:val="0"/>
          <w:numId w:val="7"/>
        </w:numPr>
        <w:spacing w:lineRule="auto" w:line="360"/>
        <w:ind w:firstLine="697" w:left="850"/>
        <w:jc w:val="both"/>
        <w:rPr>
          <w:rFonts w:ascii="Arial" w:hAnsi="Arial" w:eastAsia="Arial" w:cs="Arial"/>
        </w:rPr>
      </w:pPr>
      <w:r>
        <w:rPr>
          <w:rFonts w:eastAsia="Arial" w:cs="Arial" w:ascii="Arial" w:hAnsi="Arial"/>
        </w:rPr>
        <w:t>Para infração descrita na alínea “b” do subitem 15.1, a multa será de ....% a ...%  do valor do Contrato.</w:t>
      </w:r>
    </w:p>
    <w:p>
      <w:pPr>
        <w:pStyle w:val="normal11"/>
        <w:widowControl/>
        <w:numPr>
          <w:ilvl w:val="0"/>
          <w:numId w:val="7"/>
        </w:numPr>
        <w:spacing w:lineRule="auto" w:line="360"/>
        <w:ind w:firstLine="697" w:left="850"/>
        <w:jc w:val="both"/>
        <w:rPr>
          <w:rFonts w:ascii="Arial" w:hAnsi="Arial" w:eastAsia="Arial" w:cs="Arial"/>
        </w:rPr>
      </w:pPr>
      <w:r>
        <w:rPr>
          <w:rFonts w:eastAsia="Arial" w:cs="Arial" w:ascii="Arial" w:hAnsi="Arial"/>
        </w:rPr>
        <w:t>Para infrações descritas na alínea “d” do subitem 15.1, a multa será de ....% a ...%  do valor do Contrato.</w:t>
      </w:r>
    </w:p>
    <w:p>
      <w:pPr>
        <w:pStyle w:val="normal11"/>
        <w:widowControl/>
        <w:numPr>
          <w:ilvl w:val="0"/>
          <w:numId w:val="7"/>
        </w:numPr>
        <w:spacing w:lineRule="auto" w:line="360"/>
        <w:ind w:firstLine="697" w:left="850"/>
        <w:jc w:val="both"/>
        <w:rPr>
          <w:rFonts w:ascii="Arial" w:hAnsi="Arial" w:eastAsia="Arial" w:cs="Arial"/>
        </w:rPr>
      </w:pPr>
      <w:r>
        <w:rPr>
          <w:rFonts w:eastAsia="Arial" w:cs="Arial" w:ascii="Arial" w:hAnsi="Arial"/>
        </w:rPr>
        <w:t>Para a infração descrita na alínea “a” do subitem 15.1, a multa será de ....% a ...% do valor do Contrato, ressalvadas as seguintes infrações:</w:t>
      </w:r>
    </w:p>
    <w:p>
      <w:pPr>
        <w:pStyle w:val="normal11"/>
        <w:widowControl/>
        <w:numPr>
          <w:ilvl w:val="1"/>
          <w:numId w:val="38"/>
        </w:numPr>
        <w:spacing w:lineRule="auto" w:line="360"/>
        <w:ind w:firstLine="697" w:left="850"/>
        <w:jc w:val="both"/>
        <w:rPr>
          <w:rFonts w:ascii="Arial" w:hAnsi="Arial" w:eastAsia="Arial" w:cs="Arial"/>
        </w:rPr>
      </w:pPr>
      <w:r>
        <w:rPr>
          <w:rFonts w:eastAsia="Arial" w:cs="Arial" w:ascii="Arial" w:hAnsi="Arial"/>
          <w:i/>
        </w:rPr>
        <w:t>[INDICAR ITENS ESPECÍFICOS DE INEXECUÇÃO PARCIAL QUE JUSTIFIQUEM PENA DIVERSA]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 aplicação das sanções previstas neste Contrato não exclui, em hipótese alguma, a obrigação de reparação integral do dano causado ao </w:t>
      </w:r>
      <w:r>
        <w:rPr>
          <w:rFonts w:eastAsia="Arial" w:cs="Arial" w:ascii="Arial" w:hAnsi="Arial"/>
          <w:b/>
        </w:rPr>
        <w:t xml:space="preserve">CONTRATANTE </w:t>
      </w:r>
      <w:r>
        <w:rPr>
          <w:rFonts w:eastAsia="Arial" w:cs="Arial" w:ascii="Arial" w:hAnsi="Arial"/>
        </w:rPr>
        <w:t>(Art. 156, §9º,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Todas as sanções previstas neste Contrato poderão ser aplicadas cumulativamente com a multa (Art. 156, §7º, da Lei nº 14.133/2021).</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Antes da aplicação da multa será facultada a defesa do interessado no prazo de 15 (quinze) dias úteis, contado da data de sua intimação (Art. 157, da Lei nº 14.133/2021).</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 xml:space="preserve">Se a multa aplicada e as indenizações cabíveis forem superiores ao valor do pagamento eventualmente devido pelo </w:t>
      </w:r>
      <w:r>
        <w:rPr>
          <w:rFonts w:eastAsia="Arial" w:cs="Arial" w:ascii="Arial" w:hAnsi="Arial"/>
          <w:b/>
        </w:rPr>
        <w:t xml:space="preserve">CONTRATANTE </w:t>
      </w:r>
      <w:r>
        <w:rPr>
          <w:rFonts w:eastAsia="Arial" w:cs="Arial" w:ascii="Arial" w:hAnsi="Arial"/>
        </w:rPr>
        <w:t xml:space="preserve">ao </w:t>
      </w:r>
      <w:r>
        <w:rPr>
          <w:rFonts w:eastAsia="Arial" w:cs="Arial" w:ascii="Arial" w:hAnsi="Arial"/>
          <w:b/>
        </w:rPr>
        <w:t>CONTRATADO</w:t>
      </w:r>
      <w:r>
        <w:rPr>
          <w:rFonts w:eastAsia="Arial" w:cs="Arial" w:ascii="Arial" w:hAnsi="Arial"/>
        </w:rPr>
        <w:t>, além da perda desse valor, a diferença será descontada da garantia prestada ou será cobrada judicialmente (Art. 156, §8º, da Lei nº 14.133/2021).</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Previamente ao encaminhamento à cobrança judicial, a multa poderá ser recolhida administrativamente no prazo máximo de xx (xxxxx) dias, a contar da data do recebimento da comunicação enviada pela autoridade competente.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 aplicação das sanções realizar-se-á em processo administrativo que assegure o contraditório e a ampla defesa ao </w:t>
      </w:r>
      <w:r>
        <w:rPr>
          <w:rFonts w:eastAsia="Arial" w:cs="Arial" w:ascii="Arial" w:hAnsi="Arial"/>
          <w:b/>
        </w:rPr>
        <w:t>CONTRATADO</w:t>
      </w:r>
      <w:r>
        <w:rPr>
          <w:rFonts w:eastAsia="Arial" w:cs="Arial" w:ascii="Arial" w:hAnsi="Arial"/>
        </w:rPr>
        <w:t xml:space="preserve">, observando-se o procedimento previsto no </w:t>
      </w:r>
      <w:r>
        <w:rPr>
          <w:rFonts w:eastAsia="Arial" w:cs="Arial" w:ascii="Arial" w:hAnsi="Arial"/>
          <w:b/>
          <w:i/>
        </w:rPr>
        <w:t xml:space="preserve">caput </w:t>
      </w:r>
      <w:r>
        <w:rPr>
          <w:rFonts w:eastAsia="Arial" w:cs="Arial" w:ascii="Arial" w:hAnsi="Arial"/>
        </w:rPr>
        <w:t>e parágrafos do art. 158 da Lei nº 14.133/2021, para as penalidades de impedimento de licitar e contratar e de declaração de inidoneidade para licitar ou contratar.</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Na aplicação das sanções serão considerados (Art. 156, §1º, da Lei nº 14.133/2021):</w:t>
      </w:r>
    </w:p>
    <w:p>
      <w:pPr>
        <w:pStyle w:val="normal11"/>
        <w:widowControl/>
        <w:numPr>
          <w:ilvl w:val="1"/>
          <w:numId w:val="41"/>
        </w:numPr>
        <w:spacing w:lineRule="auto" w:line="360"/>
        <w:ind w:firstLine="357" w:left="283"/>
        <w:jc w:val="both"/>
        <w:rPr>
          <w:rFonts w:ascii="Arial" w:hAnsi="Arial" w:eastAsia="Arial" w:cs="Arial"/>
        </w:rPr>
      </w:pPr>
      <w:r>
        <w:rPr>
          <w:rFonts w:eastAsia="Arial" w:cs="Arial" w:ascii="Arial" w:hAnsi="Arial"/>
        </w:rPr>
        <w:t>A natureza e a gravidade da infração cometida;</w:t>
      </w:r>
    </w:p>
    <w:p>
      <w:pPr>
        <w:pStyle w:val="normal11"/>
        <w:widowControl/>
        <w:numPr>
          <w:ilvl w:val="1"/>
          <w:numId w:val="41"/>
        </w:numPr>
        <w:spacing w:lineRule="auto" w:line="360"/>
        <w:ind w:firstLine="357" w:left="283"/>
        <w:jc w:val="both"/>
        <w:rPr>
          <w:rFonts w:ascii="Arial" w:hAnsi="Arial" w:eastAsia="Arial" w:cs="Arial"/>
        </w:rPr>
      </w:pPr>
      <w:r>
        <w:rPr>
          <w:rFonts w:eastAsia="Arial" w:cs="Arial" w:ascii="Arial" w:hAnsi="Arial"/>
        </w:rPr>
        <w:t>As peculiaridades do caso concreto;</w:t>
      </w:r>
    </w:p>
    <w:p>
      <w:pPr>
        <w:pStyle w:val="normal11"/>
        <w:widowControl/>
        <w:numPr>
          <w:ilvl w:val="1"/>
          <w:numId w:val="41"/>
        </w:numPr>
        <w:spacing w:lineRule="auto" w:line="360"/>
        <w:ind w:firstLine="357" w:left="283"/>
        <w:jc w:val="both"/>
        <w:rPr>
          <w:rFonts w:ascii="Arial" w:hAnsi="Arial" w:eastAsia="Arial" w:cs="Arial"/>
        </w:rPr>
      </w:pPr>
      <w:r>
        <w:rPr>
          <w:rFonts w:eastAsia="Arial" w:cs="Arial" w:ascii="Arial" w:hAnsi="Arial"/>
        </w:rPr>
        <w:t>As circunstâncias agravantes ou atenuantes;</w:t>
      </w:r>
    </w:p>
    <w:p>
      <w:pPr>
        <w:pStyle w:val="normal11"/>
        <w:widowControl/>
        <w:numPr>
          <w:ilvl w:val="1"/>
          <w:numId w:val="41"/>
        </w:numPr>
        <w:spacing w:lineRule="auto" w:line="360"/>
        <w:ind w:firstLine="357" w:left="283"/>
        <w:jc w:val="both"/>
        <w:rPr>
          <w:rFonts w:ascii="Arial" w:hAnsi="Arial" w:eastAsia="Arial" w:cs="Arial"/>
        </w:rPr>
      </w:pPr>
      <w:r>
        <w:rPr>
          <w:rFonts w:eastAsia="Arial" w:cs="Arial" w:ascii="Arial" w:hAnsi="Arial"/>
        </w:rPr>
        <w:t xml:space="preserve">Os danos que dela provierem para o </w:t>
      </w:r>
      <w:r>
        <w:rPr>
          <w:rFonts w:eastAsia="Arial" w:cs="Arial" w:ascii="Arial" w:hAnsi="Arial"/>
          <w:b/>
        </w:rPr>
        <w:t>contratante</w:t>
      </w:r>
      <w:r>
        <w:rPr>
          <w:rFonts w:eastAsia="Arial" w:cs="Arial" w:ascii="Arial" w:hAnsi="Arial"/>
        </w:rPr>
        <w:t>;</w:t>
      </w:r>
    </w:p>
    <w:p>
      <w:pPr>
        <w:pStyle w:val="normal11"/>
        <w:widowControl/>
        <w:numPr>
          <w:ilvl w:val="1"/>
          <w:numId w:val="41"/>
        </w:numPr>
        <w:spacing w:lineRule="auto" w:line="360"/>
        <w:ind w:firstLine="357" w:left="283"/>
        <w:jc w:val="both"/>
        <w:rPr>
          <w:rFonts w:ascii="Arial" w:hAnsi="Arial" w:eastAsia="Arial" w:cs="Arial"/>
        </w:rPr>
      </w:pPr>
      <w:r>
        <w:rPr>
          <w:rFonts w:eastAsia="Arial" w:cs="Arial" w:ascii="Arial" w:hAnsi="Arial"/>
        </w:rPr>
        <w:t>A implantação ou o aperfeiçoamento de programa de integridade, conforme normas e orientações dos órgãos de controle.</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A personalidade jurídica do </w:t>
      </w:r>
      <w:r>
        <w:rPr>
          <w:rFonts w:eastAsia="Arial" w:cs="Arial" w:ascii="Arial" w:hAnsi="Arial"/>
          <w:b/>
        </w:rPr>
        <w:t xml:space="preserve">CONTRATADO </w:t>
      </w:r>
      <w:r>
        <w:rPr>
          <w:rFonts w:eastAsia="Arial" w:cs="Arial" w:ascii="Arial" w:hAnsi="Arial"/>
        </w:rPr>
        <w:t xml:space="preserve">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Pr>
          <w:rFonts w:eastAsia="Arial" w:cs="Arial" w:ascii="Arial" w:hAnsi="Arial"/>
          <w:b/>
        </w:rPr>
        <w:t>CONTRATADO</w:t>
      </w:r>
      <w:r>
        <w:rPr>
          <w:rFonts w:eastAsia="Arial" w:cs="Arial" w:ascii="Arial" w:hAnsi="Arial"/>
        </w:rPr>
        <w:t>, observados, em todos os casos, o contraditório, a ampla defesa e a obrigatoriedade de análise jurídica prévia (Art. 160,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w:t>
      </w:r>
      <w:r>
        <w:rPr>
          <w:rFonts w:eastAsia="Arial" w:cs="Arial" w:ascii="Arial" w:hAnsi="Arial"/>
          <w:b/>
        </w:rPr>
        <w:t xml:space="preserve">CONTRATANTE </w:t>
      </w:r>
      <w:r>
        <w:rPr>
          <w:rFonts w:eastAsia="Arial" w:cs="Arial" w:ascii="Arial" w:hAnsi="Arial"/>
        </w:rPr>
        <w:t>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As sanções de impedimento de licitar e contratar e declaração de inidoneidade para licitar ou contratar são passíveis de reabilitação na forma do art. 163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Os débitos do </w:t>
      </w:r>
      <w:r>
        <w:rPr>
          <w:rFonts w:eastAsia="Arial" w:cs="Arial" w:ascii="Arial" w:hAnsi="Arial"/>
          <w:b/>
        </w:rPr>
        <w:t xml:space="preserve">CONTRATADO </w:t>
      </w:r>
      <w:r>
        <w:rPr>
          <w:rFonts w:eastAsia="Arial" w:cs="Arial" w:ascii="Arial" w:hAnsi="Arial"/>
        </w:rPr>
        <w:t xml:space="preserve">para com a Administração </w:t>
      </w:r>
      <w:r>
        <w:rPr>
          <w:rFonts w:eastAsia="Arial" w:cs="Arial" w:ascii="Arial" w:hAnsi="Arial"/>
          <w:b/>
        </w:rPr>
        <w:t>CONTRATANTE</w:t>
      </w:r>
      <w:r>
        <w:rPr>
          <w:rFonts w:eastAsia="Arial" w:cs="Arial" w:ascii="Arial" w:hAnsi="Arial"/>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Pr>
          <w:rFonts w:eastAsia="Arial" w:cs="Arial" w:ascii="Arial" w:hAnsi="Arial"/>
          <w:b/>
        </w:rPr>
        <w:t xml:space="preserve">CONTRATADO </w:t>
      </w:r>
      <w:r>
        <w:rPr>
          <w:rFonts w:eastAsia="Arial" w:cs="Arial" w:ascii="Arial" w:hAnsi="Arial"/>
        </w:rPr>
        <w:t xml:space="preserve">possua com o mesmo órgão, ora </w:t>
      </w:r>
      <w:r>
        <w:rPr>
          <w:rFonts w:eastAsia="Arial" w:cs="Arial" w:ascii="Arial" w:hAnsi="Arial"/>
          <w:b/>
        </w:rPr>
        <w:t>CONTRATANTE</w:t>
      </w:r>
      <w:r>
        <w:rPr>
          <w:rFonts w:eastAsia="Arial" w:cs="Arial" w:ascii="Arial" w:hAnsi="Arial"/>
        </w:rPr>
        <w:t xml:space="preserve">, na forma da Instrução Normativa SEGES/ME nº 26, de 13 de abril de 2022. </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SEXTA – EXTINÇÃO CONTRATUAL</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O contrato será extinto quando cumpridas as obrigações de ambas as partes, ainda que isso ocorra antes do prazo estipulado para tanto.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Se as obrigações não forem cumpridas no prazo estipulado, a vigência ficará prorrogada até a conclusão do objeto, caso em que deverá a Administração providenciar a readequação do cronograma fixado para o contrato.</w:t>
      </w:r>
    </w:p>
    <w:p>
      <w:pPr>
        <w:pStyle w:val="normal11"/>
        <w:widowControl/>
        <w:numPr>
          <w:ilvl w:val="1"/>
          <w:numId w:val="4"/>
        </w:numPr>
        <w:spacing w:lineRule="auto" w:line="360"/>
        <w:ind w:firstLine="357" w:left="283"/>
        <w:jc w:val="both"/>
        <w:rPr>
          <w:rFonts w:ascii="Arial" w:hAnsi="Arial" w:eastAsia="Arial" w:cs="Arial"/>
          <w:i/>
          <w:i/>
        </w:rPr>
      </w:pPr>
      <w:r>
        <w:rPr>
          <w:rFonts w:eastAsia="Arial" w:cs="Arial" w:ascii="Arial" w:hAnsi="Arial"/>
          <w:i/>
        </w:rPr>
        <w:t xml:space="preserve">Quando a não conclusão do contrato referida no item anterior decorrer de culpa do </w:t>
      </w:r>
      <w:r>
        <w:rPr>
          <w:rFonts w:eastAsia="Arial" w:cs="Arial" w:ascii="Arial" w:hAnsi="Arial"/>
          <w:b/>
          <w:i/>
        </w:rPr>
        <w:t>CONTRATADO</w:t>
      </w:r>
      <w:r>
        <w:rPr>
          <w:rFonts w:eastAsia="Arial" w:cs="Arial" w:ascii="Arial" w:hAnsi="Arial"/>
          <w:i/>
        </w:rPr>
        <w:t>:</w:t>
      </w:r>
    </w:p>
    <w:p>
      <w:pPr>
        <w:pStyle w:val="normal11"/>
        <w:widowControl/>
        <w:numPr>
          <w:ilvl w:val="1"/>
          <w:numId w:val="29"/>
        </w:numPr>
        <w:spacing w:lineRule="auto" w:line="360"/>
        <w:ind w:firstLine="357" w:left="283"/>
        <w:jc w:val="both"/>
        <w:rPr>
          <w:rFonts w:ascii="Arial" w:hAnsi="Arial" w:eastAsia="Arial" w:cs="Arial"/>
          <w:i/>
          <w:i/>
        </w:rPr>
      </w:pPr>
      <w:r>
        <w:rPr>
          <w:rFonts w:eastAsia="Arial" w:cs="Arial" w:ascii="Arial" w:hAnsi="Arial"/>
          <w:i/>
        </w:rPr>
        <w:t>ficará ele constituído em mora, sendo-lhe aplicáveis as respectivas sanções administrativas;e</w:t>
      </w:r>
    </w:p>
    <w:p>
      <w:pPr>
        <w:pStyle w:val="normal11"/>
        <w:widowControl/>
        <w:numPr>
          <w:ilvl w:val="1"/>
          <w:numId w:val="29"/>
        </w:numPr>
        <w:spacing w:lineRule="auto" w:line="360"/>
        <w:ind w:firstLine="357" w:left="283"/>
        <w:jc w:val="both"/>
        <w:rPr>
          <w:rFonts w:ascii="Arial" w:hAnsi="Arial" w:eastAsia="Arial" w:cs="Arial"/>
          <w:i/>
          <w:i/>
        </w:rPr>
      </w:pPr>
      <w:r>
        <w:rPr>
          <w:rFonts w:eastAsia="Arial" w:cs="Arial" w:ascii="Arial" w:hAnsi="Arial"/>
          <w:i/>
        </w:rPr>
        <w:t>poderá a Administração optar pela extinção do contrato e, nesse caso, adotará as medidas admitidas em lei para a continuidade da execução contratual.</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 contrato poderá ser extinto antes de cumpridas as obrigações nele estipuladas, ou  antes do prazo nele fixado, por algum dos motivos previstos no artigo 137 da Lei nº 14.133/2021, bem como amigavelmente, assegurados o contraditório e a ampla defesa.</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Nesta hipótese, aplicam-se também os arts. 138 e 139 da mesma Lei.</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A alteração social ou a modificação da finalidade ou da estrutura da empresa não ensejará a extinção se não restringir sua capacidade de concluir o contrato.</w:t>
      </w:r>
    </w:p>
    <w:p>
      <w:pPr>
        <w:pStyle w:val="normal11"/>
        <w:widowControl/>
        <w:numPr>
          <w:ilvl w:val="3"/>
          <w:numId w:val="4"/>
        </w:numPr>
        <w:spacing w:lineRule="auto" w:line="360"/>
        <w:ind w:firstLine="697" w:left="850"/>
        <w:jc w:val="both"/>
        <w:rPr>
          <w:rFonts w:ascii="Arial" w:hAnsi="Arial" w:eastAsia="Arial" w:cs="Arial"/>
        </w:rPr>
      </w:pPr>
      <w:r>
        <w:rPr>
          <w:rFonts w:eastAsia="Arial" w:cs="Arial" w:ascii="Arial" w:hAnsi="Arial"/>
        </w:rPr>
        <w:t>Se a operação implicar mudança da pessoa jurídica contratada, deverá ser formalizado termo aditivo para alteração subjetiva.</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O termo de extinção, sempre que possível, será precedido:</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Balanço dos eventos contratuais já cumpridos ou parcialmente cumpridos;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Relação dos pagamentos já efetuados e ainda devidos;</w:t>
      </w:r>
    </w:p>
    <w:p>
      <w:pPr>
        <w:pStyle w:val="normal11"/>
        <w:widowControl/>
        <w:numPr>
          <w:ilvl w:val="2"/>
          <w:numId w:val="4"/>
        </w:numPr>
        <w:spacing w:lineRule="auto" w:line="360"/>
        <w:ind w:firstLine="527" w:left="566"/>
        <w:jc w:val="both"/>
        <w:rPr>
          <w:rFonts w:ascii="Arial" w:hAnsi="Arial" w:eastAsia="Arial" w:cs="Arial"/>
        </w:rPr>
      </w:pPr>
      <w:r>
        <w:rPr>
          <w:rFonts w:eastAsia="Arial" w:cs="Arial" w:ascii="Arial" w:hAnsi="Arial"/>
        </w:rPr>
        <w:t>Indenizações e multas.</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A extinção do contrato não configura óbice para o reconhecimento do desequilíbrio econômico-financeiro, hipótese em que será concedida indenização por meio de termo indenizatório (Art. 131, caput,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 contrato poderá ser extinto caso se constate que o </w:t>
      </w:r>
      <w:r>
        <w:rPr>
          <w:rFonts w:eastAsia="Arial" w:cs="Arial" w:ascii="Arial" w:hAnsi="Arial"/>
          <w:b/>
        </w:rPr>
        <w:t xml:space="preserve">CONTRATADO </w:t>
      </w:r>
      <w:r>
        <w:rPr>
          <w:rFonts w:eastAsia="Arial" w:cs="Arial" w:ascii="Arial" w:hAnsi="Arial"/>
        </w:rPr>
        <w:t xml:space="preserve">mantém vínculo de natureza técnica, comercial, econômica, financeira, trabalhista ou civil com dirigente do órgão ou entidade </w:t>
      </w:r>
      <w:r>
        <w:rPr>
          <w:rFonts w:eastAsia="Arial" w:cs="Arial" w:ascii="Arial" w:hAnsi="Arial"/>
          <w:b/>
        </w:rPr>
        <w:t xml:space="preserve">CONTRATANTE </w:t>
      </w:r>
      <w:r>
        <w:rPr>
          <w:rFonts w:eastAsia="Arial" w:cs="Arial" w:ascii="Arial" w:hAnsi="Arial"/>
        </w:rPr>
        <w:t>ou com agente público que tenha desempenhado função na licitação ou atue na fiscalização ou na gestão do contrato, ou que deles seja cônjuge, companheiro ou parente em linha reta, colateral ou por afinidade, até o terceiro grau (Art. 14, IV, da Lei n.º 14.133/2021).</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SÉTIMA – LEGISLAÇÃO APLICÁVEL</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Nos termos do previsto no art. 92, III, da Lei nº 14.133/2021, aplica-se ao presente contrato a presente legislação:</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Lei nº 14.133/2021;</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Lei Complementar nº 123/2006;</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Lei nº 13.709/2018 (LGPD);</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Código de Defesa do Consumidor;</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Código Civil;</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Código Penal;</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Código Processo Civil;</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Código Processo Penal;</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Legislação trabalhista e previdenciária;</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Estatuto da Criança e do Adolescente;</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Lei Federal n.º 12.846/2023; e</w:t>
      </w:r>
    </w:p>
    <w:p>
      <w:pPr>
        <w:pStyle w:val="normal11"/>
        <w:widowControl/>
        <w:numPr>
          <w:ilvl w:val="1"/>
          <w:numId w:val="3"/>
        </w:numPr>
        <w:spacing w:lineRule="auto" w:line="360"/>
        <w:ind w:firstLine="357" w:left="283"/>
        <w:jc w:val="both"/>
        <w:rPr>
          <w:rFonts w:ascii="Arial" w:hAnsi="Arial" w:eastAsia="Arial" w:cs="Arial"/>
        </w:rPr>
      </w:pPr>
      <w:r>
        <w:rPr>
          <w:rFonts w:eastAsia="Arial" w:cs="Arial" w:ascii="Arial" w:hAnsi="Arial"/>
        </w:rPr>
        <w:t>Demais normas aplicáveis.</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OITAVA – DOS CASOS OMISSOS (Art. 92, III,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Os casos omissos serão decididos pelo </w:t>
      </w:r>
      <w:r>
        <w:rPr>
          <w:rFonts w:eastAsia="Arial" w:cs="Arial" w:ascii="Arial" w:hAnsi="Arial"/>
          <w:b/>
        </w:rPr>
        <w:t>CONTRATANTE</w:t>
      </w:r>
      <w:r>
        <w:rPr>
          <w:rFonts w:eastAsia="Arial" w:cs="Arial" w:ascii="Arial" w:hAnsi="Arial"/>
        </w:rPr>
        <w:t>, segundo as disposições contidas na Lei nº 14.133/2021, e demais normas federais e municipais aplicáveis e, subsidiariamente, segundo as disposições contidas na Lei nº 8.078/1990 – Código de Defesa do Consumidor – e normas e princípios gerais dos contratos.</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DÉCIMA NONA – PUBLICAÇÃO</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 xml:space="preserve">Incumbirá ao </w:t>
      </w:r>
      <w:r>
        <w:rPr>
          <w:rFonts w:eastAsia="Arial" w:cs="Arial" w:ascii="Arial" w:hAnsi="Arial"/>
          <w:b/>
        </w:rPr>
        <w:t xml:space="preserve">CONTRATANTE </w:t>
      </w:r>
      <w:r>
        <w:rPr>
          <w:rFonts w:eastAsia="Arial" w:cs="Arial" w:ascii="Arial" w:hAnsi="Arial"/>
        </w:rPr>
        <w:t>divulgar o presente instrumento no Portal Nacional de Contratações Públicas (PNCP), na forma prevista no art. 94 da Lei 14.133/2021, bem como no respectivo sítio oficial na Internet, em atenção ao art. 91, caput, da Lei n.º 14.133/2021.</w:t>
      </w:r>
    </w:p>
    <w:p>
      <w:pPr>
        <w:pStyle w:val="normal11"/>
        <w:widowControl/>
        <w:numPr>
          <w:ilvl w:val="0"/>
          <w:numId w:val="4"/>
        </w:numPr>
        <w:spacing w:lineRule="auto" w:line="360" w:before="200" w:after="200"/>
        <w:jc w:val="both"/>
        <w:rPr>
          <w:rFonts w:ascii="Arial" w:hAnsi="Arial" w:eastAsia="Arial" w:cs="Arial"/>
          <w:b/>
          <w:color w:val="FFFFFF"/>
        </w:rPr>
      </w:pPr>
      <w:r>
        <w:rPr>
          <w:rFonts w:eastAsia="Arial" w:cs="Arial" w:ascii="Arial" w:hAnsi="Arial"/>
          <w:b/>
        </w:rPr>
        <w:t>CLÁUSULA VIGÉSIMA – FORO (Art. 92, §1º, da Lei n.º 14.133/2021)</w:t>
      </w:r>
    </w:p>
    <w:p>
      <w:pPr>
        <w:pStyle w:val="normal11"/>
        <w:widowControl/>
        <w:numPr>
          <w:ilvl w:val="1"/>
          <w:numId w:val="4"/>
        </w:numPr>
        <w:spacing w:lineRule="auto" w:line="360"/>
        <w:ind w:firstLine="357" w:left="283"/>
        <w:jc w:val="both"/>
        <w:rPr>
          <w:rFonts w:ascii="Arial" w:hAnsi="Arial" w:eastAsia="Arial" w:cs="Arial"/>
        </w:rPr>
      </w:pPr>
      <w:r>
        <w:rPr>
          <w:rFonts w:eastAsia="Arial" w:cs="Arial" w:ascii="Arial" w:hAnsi="Arial"/>
        </w:rPr>
        <w:t>Fica eleito o Foro da Capital, para dirimir os litígios que decorrerem da execução deste Termo de Contrato que não puderem ser compostos pela conciliação, conforme art. 92, §1º, da Lei nº 14.133/2021.</w:t>
      </w:r>
    </w:p>
    <w:p>
      <w:pPr>
        <w:pStyle w:val="normal11"/>
        <w:widowControl/>
        <w:spacing w:lineRule="auto" w:line="360"/>
        <w:ind w:hanging="1"/>
        <w:jc w:val="both"/>
        <w:rPr>
          <w:rFonts w:ascii="Arial" w:hAnsi="Arial" w:eastAsia="Arial" w:cs="Arial"/>
        </w:rPr>
      </w:pPr>
      <w:r>
        <w:rPr>
          <w:rFonts w:eastAsia="Arial" w:cs="Arial" w:ascii="Arial" w:hAnsi="Arial"/>
        </w:rPr>
      </w:r>
    </w:p>
    <w:p>
      <w:pPr>
        <w:pStyle w:val="normal11"/>
        <w:widowControl/>
        <w:spacing w:lineRule="auto" w:line="360"/>
        <w:ind w:hanging="1"/>
        <w:jc w:val="right"/>
        <w:rPr>
          <w:rFonts w:ascii="Arial" w:hAnsi="Arial" w:eastAsia="Arial" w:cs="Arial"/>
        </w:rPr>
      </w:pPr>
      <w:r>
        <w:rPr>
          <w:rFonts w:eastAsia="Arial" w:cs="Arial" w:ascii="Arial" w:hAnsi="Arial"/>
        </w:rPr>
        <w:t>[Local], [dia] de [mês] de [ano].</w:t>
      </w:r>
    </w:p>
    <w:p>
      <w:pPr>
        <w:pStyle w:val="normal11"/>
        <w:widowControl/>
        <w:spacing w:lineRule="auto" w:line="360"/>
        <w:ind w:hanging="1"/>
        <w:jc w:val="both"/>
        <w:rPr>
          <w:rFonts w:ascii="Arial" w:hAnsi="Arial" w:eastAsia="Arial" w:cs="Arial"/>
        </w:rPr>
      </w:pPr>
      <w:r>
        <w:rPr>
          <w:rFonts w:eastAsia="Arial" w:cs="Arial" w:ascii="Arial" w:hAnsi="Arial"/>
        </w:rPr>
      </w:r>
    </w:p>
    <w:p>
      <w:pPr>
        <w:pStyle w:val="normal11"/>
        <w:widowControl/>
        <w:spacing w:lineRule="auto" w:line="360"/>
        <w:ind w:hanging="1"/>
        <w:jc w:val="both"/>
        <w:rPr>
          <w:rFonts w:ascii="Arial" w:hAnsi="Arial" w:eastAsia="Arial" w:cs="Arial"/>
        </w:rPr>
      </w:pPr>
      <w:r>
        <w:rPr>
          <w:rFonts w:eastAsia="Arial" w:cs="Arial" w:ascii="Arial" w:hAnsi="Arial"/>
        </w:rPr>
        <w:t>_________________________</w:t>
      </w:r>
    </w:p>
    <w:p>
      <w:pPr>
        <w:pStyle w:val="normal11"/>
        <w:widowControl/>
        <w:spacing w:lineRule="auto" w:line="360"/>
        <w:ind w:hanging="1"/>
        <w:jc w:val="both"/>
        <w:rPr>
          <w:rFonts w:ascii="Arial" w:hAnsi="Arial" w:eastAsia="Arial" w:cs="Arial"/>
        </w:rPr>
      </w:pPr>
      <w:r>
        <w:rPr>
          <w:rFonts w:eastAsia="Arial" w:cs="Arial" w:ascii="Arial" w:hAnsi="Arial"/>
        </w:rPr>
        <w:t>Representante legal do CONTRATANTE</w:t>
      </w:r>
    </w:p>
    <w:p>
      <w:pPr>
        <w:pStyle w:val="normal11"/>
        <w:widowControl/>
        <w:spacing w:lineRule="auto" w:line="360"/>
        <w:ind w:hanging="1"/>
        <w:jc w:val="both"/>
        <w:rPr>
          <w:rFonts w:ascii="Arial" w:hAnsi="Arial" w:eastAsia="Arial" w:cs="Arial"/>
        </w:rPr>
      </w:pPr>
      <w:r>
        <w:rPr>
          <w:rFonts w:eastAsia="Arial" w:cs="Arial" w:ascii="Arial" w:hAnsi="Arial"/>
        </w:rPr>
      </w:r>
    </w:p>
    <w:p>
      <w:pPr>
        <w:pStyle w:val="normal11"/>
        <w:widowControl/>
        <w:spacing w:lineRule="auto" w:line="360"/>
        <w:ind w:hanging="1"/>
        <w:jc w:val="both"/>
        <w:rPr>
          <w:rFonts w:ascii="Arial" w:hAnsi="Arial" w:eastAsia="Arial" w:cs="Arial"/>
        </w:rPr>
      </w:pPr>
      <w:r>
        <w:rPr>
          <w:rFonts w:eastAsia="Arial" w:cs="Arial" w:ascii="Arial" w:hAnsi="Arial"/>
        </w:rPr>
        <w:t>_________________________</w:t>
      </w:r>
    </w:p>
    <w:p>
      <w:pPr>
        <w:pStyle w:val="normal11"/>
        <w:widowControl/>
        <w:spacing w:lineRule="auto" w:line="360"/>
        <w:ind w:hanging="1"/>
        <w:jc w:val="both"/>
        <w:rPr>
          <w:rFonts w:ascii="Arial" w:hAnsi="Arial" w:eastAsia="Arial" w:cs="Arial"/>
        </w:rPr>
      </w:pPr>
      <w:r>
        <w:rPr>
          <w:rFonts w:eastAsia="Arial" w:cs="Arial" w:ascii="Arial" w:hAnsi="Arial"/>
        </w:rPr>
        <w:t>Representante legal do CONTRATADO</w:t>
      </w:r>
    </w:p>
    <w:p>
      <w:pPr>
        <w:pStyle w:val="normal11"/>
        <w:widowControl/>
        <w:spacing w:lineRule="auto" w:line="360"/>
        <w:ind w:hanging="1"/>
        <w:jc w:val="both"/>
        <w:rPr>
          <w:rFonts w:ascii="Arial" w:hAnsi="Arial" w:eastAsia="Arial" w:cs="Arial"/>
        </w:rPr>
      </w:pPr>
      <w:r>
        <w:rPr>
          <w:rFonts w:eastAsia="Arial" w:cs="Arial" w:ascii="Arial" w:hAnsi="Arial"/>
        </w:rPr>
      </w:r>
    </w:p>
    <w:p>
      <w:pPr>
        <w:pStyle w:val="normal11"/>
        <w:widowControl/>
        <w:spacing w:lineRule="auto" w:line="360"/>
        <w:ind w:hanging="1"/>
        <w:jc w:val="both"/>
        <w:rPr>
          <w:rFonts w:ascii="Arial" w:hAnsi="Arial" w:eastAsia="Arial" w:cs="Arial"/>
        </w:rPr>
      </w:pPr>
      <w:r>
        <w:rPr>
          <w:rFonts w:eastAsia="Arial" w:cs="Arial" w:ascii="Arial" w:hAnsi="Arial"/>
        </w:rPr>
        <w:t>TESTEMUNHAS:</w:t>
      </w:r>
    </w:p>
    <w:p>
      <w:pPr>
        <w:pStyle w:val="normal11"/>
        <w:widowControl/>
        <w:spacing w:lineRule="auto" w:line="360"/>
        <w:ind w:hanging="1"/>
        <w:jc w:val="both"/>
        <w:rPr>
          <w:rFonts w:ascii="Arial" w:hAnsi="Arial" w:eastAsia="Arial" w:cs="Arial"/>
        </w:rPr>
      </w:pPr>
      <w:r>
        <w:rPr>
          <w:rFonts w:eastAsia="Arial" w:cs="Arial" w:ascii="Arial" w:hAnsi="Arial"/>
        </w:rPr>
        <w:t>1-</w:t>
      </w:r>
    </w:p>
    <w:p>
      <w:pPr>
        <w:pStyle w:val="normal11"/>
        <w:widowControl/>
        <w:spacing w:lineRule="auto" w:line="360"/>
        <w:ind w:hanging="1"/>
        <w:jc w:val="both"/>
        <w:rPr>
          <w:rFonts w:ascii="Arial" w:hAnsi="Arial" w:eastAsia="Arial" w:cs="Arial"/>
        </w:rPr>
      </w:pPr>
      <w:r>
        <w:rPr>
          <w:rFonts w:eastAsia="Arial" w:cs="Arial" w:ascii="Arial" w:hAnsi="Arial"/>
        </w:rPr>
        <w:t xml:space="preserve">2- </w:t>
      </w:r>
    </w:p>
    <w:p>
      <w:pPr>
        <w:pStyle w:val="normal11"/>
        <w:widowControl/>
        <w:spacing w:lineRule="auto" w:line="360"/>
        <w:ind w:hanging="1"/>
        <w:jc w:val="both"/>
        <w:rPr>
          <w:rFonts w:ascii="Arial" w:hAnsi="Arial" w:eastAsia="Arial" w:cs="Arial"/>
        </w:rPr>
      </w:pPr>
      <w:r>
        <w:rPr>
          <w:rFonts w:eastAsia="Arial" w:cs="Arial" w:ascii="Arial" w:hAnsi="Arial"/>
        </w:rPr>
      </w:r>
    </w:p>
    <w:p>
      <w:pPr>
        <w:pStyle w:val="normal11"/>
        <w:pBdr/>
        <w:tabs>
          <w:tab w:val="clear" w:pos="720"/>
          <w:tab w:val="left" w:pos="478" w:leader="none"/>
        </w:tabs>
        <w:spacing w:lineRule="auto" w:line="360" w:before="123" w:after="0"/>
        <w:jc w:val="both"/>
        <w:rPr>
          <w:rFonts w:ascii="Arial" w:hAnsi="Arial" w:eastAsia="Arial" w:cs="Arial"/>
          <w:b/>
        </w:rPr>
      </w:pPr>
      <w:r>
        <w:rPr>
          <w:rFonts w:eastAsia="Arial" w:cs="Arial" w:ascii="Arial" w:hAnsi="Arial"/>
          <w:b/>
        </w:rPr>
      </w:r>
      <w:r>
        <w:br w:type="page"/>
      </w:r>
    </w:p>
    <w:p>
      <w:pPr>
        <w:pStyle w:val="normal11"/>
        <w:pBdr/>
        <w:tabs>
          <w:tab w:val="clear" w:pos="720"/>
          <w:tab w:val="left" w:pos="478" w:leader="none"/>
        </w:tabs>
        <w:spacing w:lineRule="auto" w:line="360" w:before="0" w:after="0"/>
        <w:jc w:val="center"/>
        <w:rPr>
          <w:rFonts w:ascii="Arial" w:hAnsi="Arial" w:eastAsia="Arial" w:cs="Arial"/>
          <w:b/>
        </w:rPr>
      </w:pPr>
      <w:r>
        <w:rPr>
          <w:rFonts w:eastAsia="Arial" w:cs="Arial" w:ascii="Arial" w:hAnsi="Arial"/>
          <w:b/>
        </w:rPr>
        <w:t>ANEXO III</w:t>
      </w:r>
    </w:p>
    <w:p>
      <w:pPr>
        <w:pStyle w:val="normal11"/>
        <w:numPr>
          <w:ilvl w:val="0"/>
          <w:numId w:val="12"/>
        </w:numPr>
        <w:tabs>
          <w:tab w:val="clear" w:pos="720"/>
          <w:tab w:val="left" w:pos="494" w:leader="none"/>
        </w:tabs>
        <w:spacing w:lineRule="auto" w:line="360" w:before="123" w:after="0"/>
        <w:ind w:hanging="0" w:left="1133" w:right="565"/>
        <w:jc w:val="both"/>
        <w:rPr/>
      </w:pPr>
      <w:r>
        <w:rPr>
          <w:rFonts w:eastAsia="Arial" w:cs="Arial" w:ascii="Arial" w:hAnsi="Arial"/>
        </w:rPr>
        <w:t>Projeto;</w:t>
      </w:r>
    </w:p>
    <w:p>
      <w:pPr>
        <w:pStyle w:val="normal11"/>
        <w:numPr>
          <w:ilvl w:val="0"/>
          <w:numId w:val="12"/>
        </w:numPr>
        <w:tabs>
          <w:tab w:val="clear" w:pos="720"/>
          <w:tab w:val="left" w:pos="478" w:leader="none"/>
        </w:tabs>
        <w:spacing w:lineRule="auto" w:line="360" w:before="124" w:after="0"/>
        <w:ind w:hanging="0" w:left="1133" w:right="565"/>
        <w:jc w:val="both"/>
        <w:rPr/>
      </w:pPr>
      <w:r>
        <w:rPr>
          <w:rFonts w:eastAsia="Arial" w:cs="Arial" w:ascii="Arial" w:hAnsi="Arial"/>
        </w:rPr>
        <w:t>Planilha Orçamentária Demonstração de BDI;</w:t>
      </w:r>
    </w:p>
    <w:p>
      <w:pPr>
        <w:pStyle w:val="normal11"/>
        <w:numPr>
          <w:ilvl w:val="0"/>
          <w:numId w:val="12"/>
        </w:numPr>
        <w:tabs>
          <w:tab w:val="clear" w:pos="720"/>
          <w:tab w:val="left" w:pos="478" w:leader="none"/>
        </w:tabs>
        <w:spacing w:lineRule="auto" w:line="360" w:before="124" w:after="0"/>
        <w:ind w:hanging="0" w:left="1133" w:right="565"/>
        <w:jc w:val="both"/>
        <w:rPr/>
      </w:pPr>
      <w:r>
        <w:rPr>
          <w:rFonts w:eastAsia="Arial" w:cs="Arial" w:ascii="Arial" w:hAnsi="Arial"/>
        </w:rPr>
        <w:t xml:space="preserve">Anotação/Registro de Responsabilidade Técnica (ART/RRT) </w:t>
      </w:r>
    </w:p>
    <w:p>
      <w:pPr>
        <w:pStyle w:val="normal11"/>
        <w:numPr>
          <w:ilvl w:val="0"/>
          <w:numId w:val="12"/>
        </w:numPr>
        <w:tabs>
          <w:tab w:val="clear" w:pos="720"/>
          <w:tab w:val="left" w:pos="478" w:leader="none"/>
        </w:tabs>
        <w:spacing w:lineRule="auto" w:line="360" w:before="123" w:after="0"/>
        <w:ind w:hanging="0" w:left="1133" w:right="565"/>
        <w:jc w:val="both"/>
        <w:rPr/>
      </w:pPr>
      <w:r>
        <w:rPr>
          <w:rFonts w:eastAsia="Arial" w:cs="Arial" w:ascii="Arial" w:hAnsi="Arial"/>
        </w:rPr>
        <w:t>Cronograma Físico-Financeiro;</w:t>
      </w:r>
    </w:p>
    <w:p>
      <w:pPr>
        <w:pStyle w:val="normal11"/>
        <w:pBdr/>
        <w:tabs>
          <w:tab w:val="clear" w:pos="720"/>
          <w:tab w:val="left" w:pos="478" w:leader="none"/>
        </w:tabs>
        <w:spacing w:lineRule="auto" w:line="360" w:before="123" w:after="0"/>
        <w:jc w:val="both"/>
        <w:rPr>
          <w:rFonts w:ascii="Arial" w:hAnsi="Arial" w:eastAsia="Arial" w:cs="Arial"/>
        </w:rPr>
      </w:pPr>
      <w:r>
        <w:rPr>
          <w:rFonts w:eastAsia="Arial" w:cs="Arial" w:ascii="Arial" w:hAnsi="Arial"/>
        </w:rPr>
      </w:r>
    </w:p>
    <w:p>
      <w:pPr>
        <w:pStyle w:val="normal11"/>
        <w:tabs>
          <w:tab w:val="clear" w:pos="720"/>
          <w:tab w:val="left" w:pos="3630" w:leader="none"/>
        </w:tabs>
        <w:rPr>
          <w:rFonts w:ascii="Arial" w:hAnsi="Arial" w:eastAsia="Arial" w:cs="Arial"/>
          <w:sz w:val="20"/>
          <w:szCs w:val="20"/>
        </w:rPr>
      </w:pPr>
      <w:r>
        <w:rPr>
          <w:rFonts w:eastAsia="Arial" w:cs="Arial" w:ascii="Arial" w:hAnsi="Arial"/>
          <w:sz w:val="20"/>
          <w:szCs w:val="20"/>
        </w:rPr>
      </w:r>
    </w:p>
    <w:sectPr>
      <w:headerReference w:type="even" r:id="rId21"/>
      <w:headerReference w:type="default" r:id="rId22"/>
      <w:headerReference w:type="first" r:id="rId23"/>
      <w:footerReference w:type="even" r:id="rId24"/>
      <w:footerReference w:type="default" r:id="rId25"/>
      <w:footerReference w:type="first" r:id="rId26"/>
      <w:type w:val="nextPage"/>
      <w:pgSz w:w="11906" w:h="16838"/>
      <w:pgMar w:left="580" w:right="560" w:gutter="0" w:header="0" w:top="820" w:footer="0" w:bottom="57"/>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Tahoma">
    <w:charset w:val="00"/>
    <w:family w:val="swiss"/>
    <w:pitch w:val="variable"/>
  </w:font>
  <w:font w:name="Liberation Sans">
    <w:altName w:val="Arial"/>
    <w:charset w:val="00"/>
    <w:family w:val="swiss"/>
    <w:pitch w:val="variable"/>
  </w:font>
  <w:font w:name="Courier New">
    <w:charset w:val="00"/>
    <w:family w:val="roman"/>
    <w:pitch w:val="variable"/>
  </w:font>
  <w:font w:name="Georgia">
    <w:charset w:val="00"/>
    <w:family w:val="roman"/>
    <w:pitch w:val="variable"/>
  </w:font>
  <w:font w:name="Calibri">
    <w:charset w:val="00"/>
    <w:family w:val="swiss"/>
    <w:pitch w:val="variable"/>
  </w:font>
  <w:font w:name="Calibri">
    <w:charset w:val="00"/>
    <w:family w:val="roman"/>
    <w:pitch w:val="variable"/>
  </w:font>
  <w:font w:name="OpenSymbol">
    <w:altName w:val="Arial Unicode MS"/>
    <w:charset w:val="01"/>
    <w:family w:val="auto"/>
    <w:pitch w:val="default"/>
  </w:font>
  <w:font w:name="Symbol">
    <w:charset w:val="02"/>
    <w:family w:val="auto"/>
    <w:pitch w:val="default"/>
  </w:font>
  <w:font w:name="Wingdings">
    <w:charset w:val="02"/>
    <w:family w:val="auto"/>
    <w:pitch w:val="default"/>
  </w:font>
  <w:font w:name="Wingdings 2">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1"/>
      <w:pBdr/>
      <w:tabs>
        <w:tab w:val="clear" w:pos="720"/>
        <w:tab w:val="center" w:pos="4252" w:leader="none"/>
        <w:tab w:val="right" w:pos="8504" w:leader="none"/>
      </w:tabs>
      <w:rPr>
        <w:b/>
        <w:i/>
        <w:i/>
        <w:color w:val="000000"/>
        <w:sz w:val="20"/>
        <w:szCs w:val="20"/>
      </w:rPr>
    </w:pPr>
    <w:r>
      <w:rPr>
        <w:b/>
        <w:i/>
        <w:color w:val="000000"/>
        <w:sz w:val="20"/>
        <w:szCs w:val="20"/>
      </w:rPr>
    </w:r>
  </w:p>
  <w:p>
    <w:pPr>
      <w:pStyle w:val="normal11"/>
      <w:pBdr/>
      <w:tabs>
        <w:tab w:val="clear" w:pos="720"/>
        <w:tab w:val="center" w:pos="4252" w:leader="none"/>
        <w:tab w:val="right" w:pos="8504" w:leader="none"/>
      </w:tabs>
      <w:rPr>
        <w:rFonts w:ascii="Arial" w:hAnsi="Arial" w:eastAsia="Arial" w:cs="Arial"/>
        <w:i/>
        <w:i/>
        <w:color w:val="000000"/>
        <w:sz w:val="20"/>
        <w:szCs w:val="20"/>
      </w:rPr>
    </w:pPr>
    <w:r>
      <w:rPr>
        <w:rFonts w:eastAsia="Arial" w:cs="Arial" w:ascii="Arial" w:hAnsi="Arial"/>
        <w:b/>
        <w:i/>
        <w:color w:val="000000"/>
        <w:sz w:val="20"/>
        <w:szCs w:val="20"/>
      </w:rPr>
      <w:t>Secretaria Municipal de Licitações, Contratos e Parcerias</w:t>
    </w:r>
  </w:p>
  <w:p>
    <w:pPr>
      <w:pStyle w:val="normal11"/>
      <w:pBdr/>
      <w:tabs>
        <w:tab w:val="clear" w:pos="720"/>
        <w:tab w:val="center" w:pos="4252" w:leader="none"/>
        <w:tab w:val="right" w:pos="8504" w:leader="none"/>
      </w:tabs>
      <w:rPr>
        <w:rFonts w:ascii="Arial" w:hAnsi="Arial" w:eastAsia="Arial" w:cs="Arial"/>
        <w:color w:val="000000"/>
        <w:sz w:val="20"/>
        <w:szCs w:val="20"/>
      </w:rPr>
    </w:pPr>
    <w:r>
      <w:rPr>
        <w:rFonts w:eastAsia="Arial" w:cs="Arial" w:ascii="Arial" w:hAnsi="Arial"/>
        <w:color w:val="000000"/>
        <w:sz w:val="20"/>
        <w:szCs w:val="20"/>
      </w:rPr>
      <w:t>Rua Conselheiro Mafra, nº 656, 5° Andar</w:t>
    </w:r>
  </w:p>
  <w:p>
    <w:pPr>
      <w:pStyle w:val="normal11"/>
      <w:pBdr/>
      <w:tabs>
        <w:tab w:val="clear" w:pos="720"/>
        <w:tab w:val="center" w:pos="4252" w:leader="none"/>
        <w:tab w:val="right" w:pos="8504" w:leader="none"/>
      </w:tabs>
      <w:rPr>
        <w:rFonts w:ascii="Arial" w:hAnsi="Arial" w:eastAsia="Arial" w:cs="Arial"/>
        <w:color w:val="000000"/>
        <w:sz w:val="20"/>
        <w:szCs w:val="20"/>
      </w:rPr>
    </w:pPr>
    <w:r>
      <w:rPr>
        <w:rFonts w:eastAsia="Arial" w:cs="Arial" w:ascii="Arial" w:hAnsi="Arial"/>
        <w:color w:val="000000"/>
        <w:sz w:val="20"/>
        <w:szCs w:val="20"/>
      </w:rPr>
      <w:t>CEP 88.010-102 - Centro - Florianópolis – SC</w:t>
    </w:r>
  </w:p>
  <w:p>
    <w:pPr>
      <w:pStyle w:val="normal11"/>
      <w:pBdr/>
      <w:tabs>
        <w:tab w:val="clear" w:pos="720"/>
        <w:tab w:val="center" w:pos="4252" w:leader="none"/>
        <w:tab w:val="right" w:pos="8504" w:leader="none"/>
      </w:tabs>
      <w:rPr>
        <w:rFonts w:ascii="Arial" w:hAnsi="Arial" w:eastAsia="Arial" w:cs="Arial"/>
        <w:color w:val="000000"/>
        <w:sz w:val="20"/>
        <w:szCs w:val="20"/>
      </w:rPr>
    </w:pPr>
    <w:r>
      <w:rPr>
        <w:rFonts w:eastAsia="Arial" w:cs="Arial" w:ascii="Arial" w:hAnsi="Arial"/>
        <w:color w:val="000000"/>
        <w:sz w:val="20"/>
        <w:szCs w:val="20"/>
      </w:rPr>
      <w:t xml:space="preserve">Site: </w:t>
    </w:r>
    <w:hyperlink r:id="rId1">
      <w:r>
        <w:rPr>
          <w:rStyle w:val="Style3"/>
          <w:rFonts w:eastAsia="Arial" w:cs="Arial" w:ascii="Arial" w:hAnsi="Arial"/>
          <w:color w:val="0000FF"/>
          <w:sz w:val="20"/>
          <w:szCs w:val="20"/>
          <w:u w:val="single"/>
        </w:rPr>
        <w:t>www.pmf.sc.gov.br</w:t>
      </w:r>
    </w:hyperlink>
  </w:p>
  <w:p>
    <w:pPr>
      <w:pStyle w:val="normal11"/>
      <w:pBdr/>
      <w:tabs>
        <w:tab w:val="clear" w:pos="720"/>
        <w:tab w:val="center" w:pos="4252" w:leader="none"/>
        <w:tab w:val="right" w:pos="8504" w:leader="none"/>
      </w:tabs>
      <w:rPr>
        <w:color w:val="000000"/>
      </w:rPr>
    </w:pPr>
    <w:r>
      <w:rPr>
        <w:color w:val="000000"/>
      </w:rPr>
    </w:r>
  </w:p>
  <w:p>
    <w:pPr>
      <w:pStyle w:val="normal11"/>
      <w:pBdr/>
      <w:tabs>
        <w:tab w:val="clear" w:pos="720"/>
        <w:tab w:val="center" w:pos="4252" w:leader="none"/>
        <w:tab w:val="right" w:pos="8504" w:leader="none"/>
      </w:tabs>
      <w:rPr>
        <w:color w:val="000000"/>
      </w:rPr>
    </w:pPr>
    <w:r>
      <w:rPr>
        <w:color w:val="000000"/>
      </w:rPr>
    </w:r>
  </w:p>
  <w:p>
    <w:pPr>
      <w:pStyle w:val="normal11"/>
      <w:pBdr/>
      <w:spacing w:lineRule="auto" w:line="14"/>
      <w:rPr>
        <w:color w:val="000000"/>
        <w:sz w:val="2"/>
        <w:szCs w:val="2"/>
      </w:rPr>
    </w:pPr>
    <w:r>
      <w:rPr>
        <w:color w:val="000000"/>
        <w:sz w:val="2"/>
        <w:szCs w:val="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1"/>
      <w:pBdr/>
      <w:tabs>
        <w:tab w:val="clear" w:pos="720"/>
        <w:tab w:val="center" w:pos="4252" w:leader="none"/>
        <w:tab w:val="right" w:pos="8504" w:leader="none"/>
      </w:tabs>
      <w:rPr>
        <w:b/>
        <w:i/>
        <w:i/>
        <w:color w:val="000000"/>
        <w:sz w:val="20"/>
        <w:szCs w:val="20"/>
      </w:rPr>
    </w:pPr>
    <w:r>
      <w:rPr>
        <w:b/>
        <w:i/>
        <w:color w:val="000000"/>
        <w:sz w:val="20"/>
        <w:szCs w:val="20"/>
      </w:rPr>
    </w:r>
  </w:p>
  <w:p>
    <w:pPr>
      <w:pStyle w:val="normal11"/>
      <w:pBdr/>
      <w:tabs>
        <w:tab w:val="clear" w:pos="720"/>
        <w:tab w:val="center" w:pos="4252" w:leader="none"/>
        <w:tab w:val="right" w:pos="8504" w:leader="none"/>
      </w:tabs>
      <w:rPr>
        <w:rFonts w:ascii="Arial" w:hAnsi="Arial" w:eastAsia="Arial" w:cs="Arial"/>
        <w:i/>
        <w:i/>
        <w:color w:val="000000"/>
        <w:sz w:val="20"/>
        <w:szCs w:val="20"/>
      </w:rPr>
    </w:pPr>
    <w:r>
      <w:rPr>
        <w:rFonts w:eastAsia="Arial" w:cs="Arial" w:ascii="Arial" w:hAnsi="Arial"/>
        <w:b/>
        <w:i/>
        <w:color w:val="000000"/>
        <w:sz w:val="20"/>
        <w:szCs w:val="20"/>
      </w:rPr>
      <w:t>Secretaria Municipal de Licitações, Contratos e Parcerias</w:t>
    </w:r>
  </w:p>
  <w:p>
    <w:pPr>
      <w:pStyle w:val="normal11"/>
      <w:pBdr/>
      <w:tabs>
        <w:tab w:val="clear" w:pos="720"/>
        <w:tab w:val="center" w:pos="4252" w:leader="none"/>
        <w:tab w:val="right" w:pos="8504" w:leader="none"/>
      </w:tabs>
      <w:rPr>
        <w:rFonts w:ascii="Arial" w:hAnsi="Arial" w:eastAsia="Arial" w:cs="Arial"/>
        <w:color w:val="000000"/>
        <w:sz w:val="20"/>
        <w:szCs w:val="20"/>
      </w:rPr>
    </w:pPr>
    <w:r>
      <w:rPr>
        <w:rFonts w:eastAsia="Arial" w:cs="Arial" w:ascii="Arial" w:hAnsi="Arial"/>
        <w:color w:val="000000"/>
        <w:sz w:val="20"/>
        <w:szCs w:val="20"/>
      </w:rPr>
      <w:t>Rua Conselheiro Mafra, nº 656, 5° Andar</w:t>
    </w:r>
  </w:p>
  <w:p>
    <w:pPr>
      <w:pStyle w:val="normal11"/>
      <w:pBdr/>
      <w:tabs>
        <w:tab w:val="clear" w:pos="720"/>
        <w:tab w:val="center" w:pos="4252" w:leader="none"/>
        <w:tab w:val="right" w:pos="8504" w:leader="none"/>
      </w:tabs>
      <w:rPr>
        <w:rFonts w:ascii="Arial" w:hAnsi="Arial" w:eastAsia="Arial" w:cs="Arial"/>
        <w:color w:val="000000"/>
        <w:sz w:val="20"/>
        <w:szCs w:val="20"/>
      </w:rPr>
    </w:pPr>
    <w:r>
      <w:rPr>
        <w:rFonts w:eastAsia="Arial" w:cs="Arial" w:ascii="Arial" w:hAnsi="Arial"/>
        <w:color w:val="000000"/>
        <w:sz w:val="20"/>
        <w:szCs w:val="20"/>
      </w:rPr>
      <w:t>CEP 88.010-102 - Centro - Florianópolis – SC</w:t>
    </w:r>
  </w:p>
  <w:p>
    <w:pPr>
      <w:pStyle w:val="normal11"/>
      <w:pBdr/>
      <w:tabs>
        <w:tab w:val="clear" w:pos="720"/>
        <w:tab w:val="center" w:pos="4252" w:leader="none"/>
        <w:tab w:val="right" w:pos="8504" w:leader="none"/>
      </w:tabs>
      <w:rPr>
        <w:rFonts w:ascii="Arial" w:hAnsi="Arial" w:eastAsia="Arial" w:cs="Arial"/>
        <w:color w:val="000000"/>
        <w:sz w:val="20"/>
        <w:szCs w:val="20"/>
      </w:rPr>
    </w:pPr>
    <w:r>
      <w:rPr>
        <w:rFonts w:eastAsia="Arial" w:cs="Arial" w:ascii="Arial" w:hAnsi="Arial"/>
        <w:color w:val="000000"/>
        <w:sz w:val="20"/>
        <w:szCs w:val="20"/>
      </w:rPr>
      <w:t xml:space="preserve">Site: </w:t>
    </w:r>
    <w:hyperlink r:id="rId1">
      <w:r>
        <w:rPr>
          <w:rStyle w:val="Style3"/>
          <w:rFonts w:eastAsia="Arial" w:cs="Arial" w:ascii="Arial" w:hAnsi="Arial"/>
          <w:color w:val="0000FF"/>
          <w:sz w:val="20"/>
          <w:szCs w:val="20"/>
          <w:u w:val="single"/>
        </w:rPr>
        <w:t>www.pmf.sc.gov.br</w:t>
      </w:r>
    </w:hyperlink>
  </w:p>
  <w:p>
    <w:pPr>
      <w:pStyle w:val="normal11"/>
      <w:pBdr/>
      <w:tabs>
        <w:tab w:val="clear" w:pos="720"/>
        <w:tab w:val="center" w:pos="4252" w:leader="none"/>
        <w:tab w:val="right" w:pos="8504" w:leader="none"/>
      </w:tabs>
      <w:rPr>
        <w:color w:val="000000"/>
      </w:rPr>
    </w:pPr>
    <w:r>
      <w:rPr>
        <w:color w:val="000000"/>
      </w:rPr>
    </w:r>
  </w:p>
  <w:p>
    <w:pPr>
      <w:pStyle w:val="normal11"/>
      <w:pBdr/>
      <w:tabs>
        <w:tab w:val="clear" w:pos="720"/>
        <w:tab w:val="center" w:pos="4252" w:leader="none"/>
        <w:tab w:val="right" w:pos="8504" w:leader="none"/>
      </w:tabs>
      <w:rPr>
        <w:color w:val="000000"/>
      </w:rPr>
    </w:pPr>
    <w:r>
      <w:rPr>
        <w:color w:val="000000"/>
      </w:rPr>
    </w:r>
  </w:p>
  <w:p>
    <w:pPr>
      <w:pStyle w:val="normal11"/>
      <w:pBdr/>
      <w:spacing w:lineRule="auto" w:line="14"/>
      <w:rPr>
        <w:color w:val="000000"/>
        <w:sz w:val="2"/>
        <w:szCs w:val="2"/>
      </w:rPr>
    </w:pPr>
    <w:r>
      <w:rPr>
        <w:color w:val="000000"/>
        <w:sz w:val="2"/>
        <w:szCs w:val="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1"/>
      <w:pBdr/>
      <w:tabs>
        <w:tab w:val="clear" w:pos="720"/>
        <w:tab w:val="center" w:pos="4252" w:leader="none"/>
        <w:tab w:val="right" w:pos="8504" w:leader="none"/>
      </w:tabs>
      <w:rPr>
        <w:color w:val="000000"/>
      </w:rPr>
    </w:pPr>
    <w:r>
      <w:rPr>
        <w:color w:val="000000"/>
      </w:rPr>
    </w:r>
  </w:p>
  <w:p>
    <w:pPr>
      <w:pStyle w:val="normal11"/>
      <w:pBdr/>
      <w:tabs>
        <w:tab w:val="clear" w:pos="720"/>
        <w:tab w:val="center" w:pos="4252" w:leader="none"/>
        <w:tab w:val="right" w:pos="8504" w:leader="none"/>
      </w:tabs>
      <w:rPr>
        <w:color w:val="000000"/>
      </w:rPr>
    </w:pPr>
    <w:r>
      <w:rPr>
        <w:color w:val="000000"/>
      </w:rPr>
    </w:r>
  </w:p>
  <w:p>
    <w:pPr>
      <w:pStyle w:val="normal11"/>
      <w:pBdr/>
      <w:tabs>
        <w:tab w:val="clear" w:pos="720"/>
        <w:tab w:val="center" w:pos="4252" w:leader="none"/>
        <w:tab w:val="right" w:pos="8504" w:leader="none"/>
      </w:tabs>
      <w:rPr>
        <w:color w:val="FF0000"/>
      </w:rPr>
    </w:pPr>
    <w:r>
      <w:rPr/>
      <w:drawing>
        <wp:inline distT="0" distB="0" distL="0" distR="0">
          <wp:extent cx="2456815" cy="683895"/>
          <wp:effectExtent l="0" t="0" r="0" b="0"/>
          <wp:docPr id="2" name="image1.png"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Uma imagem contendo Texto&#10;&#10;Descrição gerada automaticamente"/>
                  <pic:cNvPicPr>
                    <a:picLocks noChangeAspect="1" noChangeArrowheads="1"/>
                  </pic:cNvPicPr>
                </pic:nvPicPr>
                <pic:blipFill>
                  <a:blip r:embed="rId1"/>
                  <a:stretch>
                    <a:fillRect/>
                  </a:stretch>
                </pic:blipFill>
                <pic:spPr bwMode="auto">
                  <a:xfrm>
                    <a:off x="0" y="0"/>
                    <a:ext cx="2456815" cy="68389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1"/>
      <w:pBdr/>
      <w:tabs>
        <w:tab w:val="clear" w:pos="720"/>
        <w:tab w:val="center" w:pos="4252" w:leader="none"/>
        <w:tab w:val="right" w:pos="8504" w:leader="none"/>
      </w:tabs>
      <w:rPr>
        <w:color w:val="000000"/>
      </w:rPr>
    </w:pPr>
    <w:r>
      <w:rPr>
        <w:color w:val="000000"/>
      </w:rPr>
    </w:r>
  </w:p>
  <w:p>
    <w:pPr>
      <w:pStyle w:val="normal11"/>
      <w:pBdr/>
      <w:tabs>
        <w:tab w:val="clear" w:pos="720"/>
        <w:tab w:val="center" w:pos="4252" w:leader="none"/>
        <w:tab w:val="right" w:pos="8504" w:leader="none"/>
      </w:tabs>
      <w:rPr>
        <w:color w:val="000000"/>
      </w:rPr>
    </w:pPr>
    <w:r>
      <w:rPr>
        <w:color w:val="000000"/>
      </w:rPr>
    </w:r>
  </w:p>
  <w:p>
    <w:pPr>
      <w:pStyle w:val="normal11"/>
      <w:pBdr/>
      <w:tabs>
        <w:tab w:val="clear" w:pos="720"/>
        <w:tab w:val="center" w:pos="4252" w:leader="none"/>
        <w:tab w:val="right" w:pos="8504" w:leader="none"/>
      </w:tabs>
      <w:rPr>
        <w:color w:val="FF0000"/>
      </w:rPr>
    </w:pPr>
    <w:r>
      <w:rPr/>
      <w:drawing>
        <wp:inline distT="0" distB="0" distL="0" distR="0">
          <wp:extent cx="2456815" cy="683895"/>
          <wp:effectExtent l="0" t="0" r="0" b="0"/>
          <wp:docPr id="3" name="image1.png"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descr="Uma imagem contendo Texto&#10;&#10;Descrição gerada automaticamente"/>
                  <pic:cNvPicPr>
                    <a:picLocks noChangeAspect="1" noChangeArrowheads="1"/>
                  </pic:cNvPicPr>
                </pic:nvPicPr>
                <pic:blipFill>
                  <a:blip r:embed="rId1"/>
                  <a:stretch>
                    <a:fillRect/>
                  </a:stretch>
                </pic:blipFill>
                <pic:spPr bwMode="auto">
                  <a:xfrm>
                    <a:off x="0" y="0"/>
                    <a:ext cx="2456815" cy="68389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lvl w:ilvl="0">
      <w:start w:val="1"/>
      <w:numFmt w:val="lowerLetter"/>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
    <w:lvl w:ilvl="0">
      <w:start w:val="1"/>
      <w:numFmt w:val="decimal"/>
      <w:lvlText w:val="%1."/>
      <w:lvlJc w:val="right"/>
      <w:pPr>
        <w:tabs>
          <w:tab w:val="num" w:pos="0"/>
        </w:tabs>
        <w:ind w:left="720" w:hanging="360"/>
      </w:pPr>
      <w:rPr>
        <w:u w:val="none"/>
      </w:rPr>
    </w:lvl>
    <w:lvl w:ilvl="1">
      <w:start w:val="1"/>
      <w:numFmt w:val="decimal"/>
      <w:lvlText w:val="%1.%2."/>
      <w:lvlJc w:val="right"/>
      <w:pPr>
        <w:tabs>
          <w:tab w:val="num" w:pos="0"/>
        </w:tabs>
        <w:ind w:left="1440" w:hanging="360"/>
      </w:pPr>
      <w:rPr>
        <w:u w:val="none"/>
      </w:rPr>
    </w:lvl>
    <w:lvl w:ilvl="2">
      <w:start w:val="1"/>
      <w:numFmt w:val="decimal"/>
      <w:lvlText w:val="%1.%2.%3."/>
      <w:lvlJc w:val="right"/>
      <w:pPr>
        <w:tabs>
          <w:tab w:val="num" w:pos="0"/>
        </w:tabs>
        <w:ind w:left="2160" w:hanging="360"/>
      </w:pPr>
      <w:rPr>
        <w:u w:val="none"/>
      </w:rPr>
    </w:lvl>
    <w:lvl w:ilvl="3">
      <w:start w:val="1"/>
      <w:numFmt w:val="decimal"/>
      <w:lvlText w:val="%1.%2.%3.%4."/>
      <w:lvlJc w:val="right"/>
      <w:pPr>
        <w:tabs>
          <w:tab w:val="num" w:pos="0"/>
        </w:tabs>
        <w:ind w:left="2880" w:hanging="360"/>
      </w:pPr>
      <w:rPr>
        <w:u w:val="none"/>
      </w:rPr>
    </w:lvl>
    <w:lvl w:ilvl="4">
      <w:start w:val="1"/>
      <w:numFmt w:val="decimal"/>
      <w:lvlText w:val="%1.%2.%3.%4.%5."/>
      <w:lvlJc w:val="right"/>
      <w:pPr>
        <w:tabs>
          <w:tab w:val="num" w:pos="0"/>
        </w:tabs>
        <w:ind w:left="3600" w:hanging="360"/>
      </w:pPr>
      <w:rPr>
        <w:u w:val="none"/>
      </w:rPr>
    </w:lvl>
    <w:lvl w:ilvl="5">
      <w:start w:val="1"/>
      <w:numFmt w:val="decimal"/>
      <w:lvlText w:val="%1.%2.%3.%4.%5.%6."/>
      <w:lvlJc w:val="right"/>
      <w:pPr>
        <w:tabs>
          <w:tab w:val="num" w:pos="0"/>
        </w:tabs>
        <w:ind w:left="4320" w:hanging="360"/>
      </w:pPr>
      <w:rPr>
        <w:u w:val="none"/>
      </w:rPr>
    </w:lvl>
    <w:lvl w:ilvl="6">
      <w:start w:val="1"/>
      <w:numFmt w:val="decimal"/>
      <w:lvlText w:val="%1.%2.%3.%4.%5.%6.%7."/>
      <w:lvlJc w:val="right"/>
      <w:pPr>
        <w:tabs>
          <w:tab w:val="num" w:pos="0"/>
        </w:tabs>
        <w:ind w:left="5040" w:hanging="360"/>
      </w:pPr>
      <w:rPr>
        <w:u w:val="none"/>
      </w:rPr>
    </w:lvl>
    <w:lvl w:ilvl="7">
      <w:start w:val="1"/>
      <w:numFmt w:val="decimal"/>
      <w:lvlText w:val="%1.%2.%3.%4.%5.%6.%7.%8."/>
      <w:lvlJc w:val="right"/>
      <w:pPr>
        <w:tabs>
          <w:tab w:val="num" w:pos="0"/>
        </w:tabs>
        <w:ind w:left="5760" w:hanging="360"/>
      </w:pPr>
      <w:rPr>
        <w:u w:val="none"/>
      </w:rPr>
    </w:lvl>
    <w:lvl w:ilvl="8">
      <w:start w:val="1"/>
      <w:numFmt w:val="decimal"/>
      <w:lvlText w:val="%1.%2.%3.%4.%5.%6.%7.%8.%9."/>
      <w:lvlJc w:val="right"/>
      <w:pPr>
        <w:tabs>
          <w:tab w:val="num" w:pos="0"/>
        </w:tabs>
        <w:ind w:left="6480" w:hanging="360"/>
      </w:pPr>
      <w:rPr>
        <w:u w:val="none"/>
      </w:rPr>
    </w:lvl>
  </w:abstractNum>
  <w:abstractNum w:abstractNumId="5">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8">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9">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0">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1">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12">
    <w:lvl w:ilvl="0">
      <w:start w:val="1"/>
      <w:numFmt w:val="lowerLetter"/>
      <w:lvlText w:val="%1)"/>
      <w:lvlJc w:val="left"/>
      <w:pPr>
        <w:tabs>
          <w:tab w:val="num" w:pos="0"/>
        </w:tabs>
        <w:ind w:left="477" w:hanging="246"/>
      </w:pPr>
      <w:rPr>
        <w:sz w:val="22"/>
        <w:szCs w:val="22"/>
        <w:rFonts w:ascii="Arial" w:hAnsi="Arial" w:eastAsia="Arial" w:cs="Arial"/>
      </w:rPr>
    </w:lvl>
    <w:lvl w:ilvl="1">
      <w:start w:val="1"/>
      <w:numFmt w:val="lowerLetter"/>
      <w:lvlText w:val="%2)"/>
      <w:lvlJc w:val="left"/>
      <w:pPr>
        <w:tabs>
          <w:tab w:val="num" w:pos="0"/>
        </w:tabs>
        <w:ind w:left="1583" w:hanging="245"/>
      </w:pPr>
      <w:rPr>
        <w:sz w:val="24"/>
        <w:szCs w:val="24"/>
        <w:rFonts w:ascii="Times New Roman" w:hAnsi="Times New Roman" w:eastAsia="Times New Roman" w:cs="Times New Roman"/>
      </w:rPr>
    </w:lvl>
    <w:lvl w:ilvl="2">
      <w:start w:val="0"/>
      <w:numFmt w:val="bullet"/>
      <w:lvlText w:val=""/>
      <w:lvlJc w:val="left"/>
      <w:pPr>
        <w:tabs>
          <w:tab w:val="num" w:pos="0"/>
        </w:tabs>
        <w:ind w:left="2597" w:hanging="246"/>
      </w:pPr>
      <w:rPr>
        <w:rFonts w:ascii="Symbol" w:hAnsi="Symbol" w:cs="Symbol" w:hint="default"/>
      </w:rPr>
    </w:lvl>
    <w:lvl w:ilvl="3">
      <w:start w:val="0"/>
      <w:numFmt w:val="bullet"/>
      <w:lvlText w:val=""/>
      <w:lvlJc w:val="left"/>
      <w:pPr>
        <w:tabs>
          <w:tab w:val="num" w:pos="0"/>
        </w:tabs>
        <w:ind w:left="3615" w:hanging="246"/>
      </w:pPr>
      <w:rPr>
        <w:rFonts w:ascii="Symbol" w:hAnsi="Symbol" w:cs="Symbol" w:hint="default"/>
      </w:rPr>
    </w:lvl>
    <w:lvl w:ilvl="4">
      <w:start w:val="0"/>
      <w:numFmt w:val="bullet"/>
      <w:lvlText w:val=""/>
      <w:lvlJc w:val="left"/>
      <w:pPr>
        <w:tabs>
          <w:tab w:val="num" w:pos="0"/>
        </w:tabs>
        <w:ind w:left="4633" w:hanging="246"/>
      </w:pPr>
      <w:rPr>
        <w:rFonts w:ascii="Symbol" w:hAnsi="Symbol" w:cs="Symbol" w:hint="default"/>
      </w:rPr>
    </w:lvl>
    <w:lvl w:ilvl="5">
      <w:start w:val="0"/>
      <w:numFmt w:val="bullet"/>
      <w:lvlText w:val=""/>
      <w:lvlJc w:val="left"/>
      <w:pPr>
        <w:tabs>
          <w:tab w:val="num" w:pos="0"/>
        </w:tabs>
        <w:ind w:left="5651" w:hanging="246"/>
      </w:pPr>
      <w:rPr>
        <w:rFonts w:ascii="Symbol" w:hAnsi="Symbol" w:cs="Symbol" w:hint="default"/>
      </w:rPr>
    </w:lvl>
    <w:lvl w:ilvl="6">
      <w:start w:val="0"/>
      <w:numFmt w:val="bullet"/>
      <w:lvlText w:val=""/>
      <w:lvlJc w:val="left"/>
      <w:pPr>
        <w:tabs>
          <w:tab w:val="num" w:pos="0"/>
        </w:tabs>
        <w:ind w:left="6668" w:hanging="246"/>
      </w:pPr>
      <w:rPr>
        <w:rFonts w:ascii="Symbol" w:hAnsi="Symbol" w:cs="Symbol" w:hint="default"/>
      </w:rPr>
    </w:lvl>
    <w:lvl w:ilvl="7">
      <w:start w:val="0"/>
      <w:numFmt w:val="bullet"/>
      <w:lvlText w:val=""/>
      <w:lvlJc w:val="left"/>
      <w:pPr>
        <w:tabs>
          <w:tab w:val="num" w:pos="0"/>
        </w:tabs>
        <w:ind w:left="7686" w:hanging="246"/>
      </w:pPr>
      <w:rPr>
        <w:rFonts w:ascii="Symbol" w:hAnsi="Symbol" w:cs="Symbol" w:hint="default"/>
      </w:rPr>
    </w:lvl>
    <w:lvl w:ilvl="8">
      <w:start w:val="0"/>
      <w:numFmt w:val="bullet"/>
      <w:lvlText w:val=""/>
      <w:lvlJc w:val="left"/>
      <w:pPr>
        <w:tabs>
          <w:tab w:val="num" w:pos="0"/>
        </w:tabs>
        <w:ind w:left="8704" w:hanging="246"/>
      </w:pPr>
      <w:rPr>
        <w:rFonts w:ascii="Symbol" w:hAnsi="Symbol" w:cs="Symbol" w:hint="default"/>
      </w:rPr>
    </w:lvl>
  </w:abstractNum>
  <w:abstractNum w:abstractNumId="13">
    <w:lvl w:ilvl="0">
      <w:start w:val="1"/>
      <w:numFmt w:val="lowerLetter"/>
      <w:lvlText w:val="%1)"/>
      <w:lvlJc w:val="left"/>
      <w:pPr>
        <w:tabs>
          <w:tab w:val="num" w:pos="0"/>
        </w:tabs>
        <w:ind w:left="493" w:hanging="262"/>
      </w:pPr>
      <w:rPr>
        <w:sz w:val="22"/>
        <w:b/>
        <w:szCs w:val="22"/>
        <w:rFonts w:ascii="Arial" w:hAnsi="Arial" w:eastAsia="Arial" w:cs="Arial"/>
      </w:rPr>
    </w:lvl>
    <w:lvl w:ilvl="1">
      <w:start w:val="0"/>
      <w:numFmt w:val="bullet"/>
      <w:lvlText w:val=""/>
      <w:lvlJc w:val="left"/>
      <w:pPr>
        <w:tabs>
          <w:tab w:val="num" w:pos="0"/>
        </w:tabs>
        <w:ind w:left="1524" w:hanging="262"/>
      </w:pPr>
      <w:rPr>
        <w:rFonts w:ascii="Symbol" w:hAnsi="Symbol" w:cs="Symbol" w:hint="default"/>
      </w:rPr>
    </w:lvl>
    <w:lvl w:ilvl="2">
      <w:start w:val="0"/>
      <w:numFmt w:val="bullet"/>
      <w:lvlText w:val=""/>
      <w:lvlJc w:val="left"/>
      <w:pPr>
        <w:tabs>
          <w:tab w:val="num" w:pos="0"/>
        </w:tabs>
        <w:ind w:left="2548" w:hanging="262"/>
      </w:pPr>
      <w:rPr>
        <w:rFonts w:ascii="Symbol" w:hAnsi="Symbol" w:cs="Symbol" w:hint="default"/>
      </w:rPr>
    </w:lvl>
    <w:lvl w:ilvl="3">
      <w:start w:val="0"/>
      <w:numFmt w:val="bullet"/>
      <w:lvlText w:val=""/>
      <w:lvlJc w:val="left"/>
      <w:pPr>
        <w:tabs>
          <w:tab w:val="num" w:pos="0"/>
        </w:tabs>
        <w:ind w:left="3572" w:hanging="262"/>
      </w:pPr>
      <w:rPr>
        <w:rFonts w:ascii="Symbol" w:hAnsi="Symbol" w:cs="Symbol" w:hint="default"/>
      </w:rPr>
    </w:lvl>
    <w:lvl w:ilvl="4">
      <w:start w:val="0"/>
      <w:numFmt w:val="bullet"/>
      <w:lvlText w:val=""/>
      <w:lvlJc w:val="left"/>
      <w:pPr>
        <w:tabs>
          <w:tab w:val="num" w:pos="0"/>
        </w:tabs>
        <w:ind w:left="4596" w:hanging="262"/>
      </w:pPr>
      <w:rPr>
        <w:rFonts w:ascii="Symbol" w:hAnsi="Symbol" w:cs="Symbol" w:hint="default"/>
      </w:rPr>
    </w:lvl>
    <w:lvl w:ilvl="5">
      <w:start w:val="0"/>
      <w:numFmt w:val="bullet"/>
      <w:lvlText w:val=""/>
      <w:lvlJc w:val="left"/>
      <w:pPr>
        <w:tabs>
          <w:tab w:val="num" w:pos="0"/>
        </w:tabs>
        <w:ind w:left="5620" w:hanging="262"/>
      </w:pPr>
      <w:rPr>
        <w:rFonts w:ascii="Symbol" w:hAnsi="Symbol" w:cs="Symbol" w:hint="default"/>
      </w:rPr>
    </w:lvl>
    <w:lvl w:ilvl="6">
      <w:start w:val="0"/>
      <w:numFmt w:val="bullet"/>
      <w:lvlText w:val=""/>
      <w:lvlJc w:val="left"/>
      <w:pPr>
        <w:tabs>
          <w:tab w:val="num" w:pos="0"/>
        </w:tabs>
        <w:ind w:left="6644" w:hanging="262"/>
      </w:pPr>
      <w:rPr>
        <w:rFonts w:ascii="Symbol" w:hAnsi="Symbol" w:cs="Symbol" w:hint="default"/>
      </w:rPr>
    </w:lvl>
    <w:lvl w:ilvl="7">
      <w:start w:val="0"/>
      <w:numFmt w:val="bullet"/>
      <w:lvlText w:val=""/>
      <w:lvlJc w:val="left"/>
      <w:pPr>
        <w:tabs>
          <w:tab w:val="num" w:pos="0"/>
        </w:tabs>
        <w:ind w:left="7668" w:hanging="262"/>
      </w:pPr>
      <w:rPr>
        <w:rFonts w:ascii="Symbol" w:hAnsi="Symbol" w:cs="Symbol" w:hint="default"/>
      </w:rPr>
    </w:lvl>
    <w:lvl w:ilvl="8">
      <w:start w:val="0"/>
      <w:numFmt w:val="bullet"/>
      <w:lvlText w:val=""/>
      <w:lvlJc w:val="left"/>
      <w:pPr>
        <w:tabs>
          <w:tab w:val="num" w:pos="0"/>
        </w:tabs>
        <w:ind w:left="8692" w:hanging="262"/>
      </w:pPr>
      <w:rPr>
        <w:rFonts w:ascii="Symbol" w:hAnsi="Symbol" w:cs="Symbol" w:hint="default"/>
      </w:rPr>
    </w:lvl>
  </w:abstractNum>
  <w:abstractNum w:abstractNumId="14">
    <w:lvl w:ilvl="0">
      <w:start w:val="1"/>
      <w:numFmt w:val="lowerLetter"/>
      <w:lvlText w:val="%1)"/>
      <w:lvlJc w:val="left"/>
      <w:pPr>
        <w:tabs>
          <w:tab w:val="num" w:pos="0"/>
        </w:tabs>
        <w:ind w:left="232" w:hanging="284"/>
      </w:pPr>
      <w:rPr>
        <w:sz w:val="22"/>
        <w:b/>
        <w:szCs w:val="22"/>
        <w:rFonts w:ascii="Arial" w:hAnsi="Arial" w:eastAsia="Arial" w:cs="Arial"/>
      </w:rPr>
    </w:lvl>
    <w:lvl w:ilvl="1">
      <w:start w:val="0"/>
      <w:numFmt w:val="decimal"/>
      <w:lvlText w:val=""/>
      <w:lvlJc w:val="left"/>
      <w:pPr>
        <w:tabs>
          <w:tab w:val="num" w:pos="0"/>
        </w:tabs>
        <w:ind w:left="0" w:hanging="0"/>
      </w:pPr>
      <w:rPr/>
    </w:lvl>
    <w:lvl w:ilvl="2">
      <w:start w:val="0"/>
      <w:numFmt w:val="bullet"/>
      <w:lvlText w:val=""/>
      <w:lvlJc w:val="left"/>
      <w:pPr>
        <w:tabs>
          <w:tab w:val="num" w:pos="0"/>
        </w:tabs>
        <w:ind w:left="2224" w:hanging="446"/>
      </w:pPr>
      <w:rPr>
        <w:rFonts w:ascii="Symbol" w:hAnsi="Symbol" w:cs="Symbol" w:hint="default"/>
      </w:rPr>
    </w:lvl>
    <w:lvl w:ilvl="3">
      <w:start w:val="0"/>
      <w:numFmt w:val="bullet"/>
      <w:lvlText w:val=""/>
      <w:lvlJc w:val="left"/>
      <w:pPr>
        <w:tabs>
          <w:tab w:val="num" w:pos="0"/>
        </w:tabs>
        <w:ind w:left="3288" w:hanging="446"/>
      </w:pPr>
      <w:rPr>
        <w:rFonts w:ascii="Symbol" w:hAnsi="Symbol" w:cs="Symbol" w:hint="default"/>
      </w:rPr>
    </w:lvl>
    <w:lvl w:ilvl="4">
      <w:start w:val="0"/>
      <w:numFmt w:val="bullet"/>
      <w:lvlText w:val=""/>
      <w:lvlJc w:val="left"/>
      <w:pPr>
        <w:tabs>
          <w:tab w:val="num" w:pos="0"/>
        </w:tabs>
        <w:ind w:left="4353" w:hanging="446"/>
      </w:pPr>
      <w:rPr>
        <w:rFonts w:ascii="Symbol" w:hAnsi="Symbol" w:cs="Symbol" w:hint="default"/>
      </w:rPr>
    </w:lvl>
    <w:lvl w:ilvl="5">
      <w:start w:val="0"/>
      <w:numFmt w:val="bullet"/>
      <w:lvlText w:val=""/>
      <w:lvlJc w:val="left"/>
      <w:pPr>
        <w:tabs>
          <w:tab w:val="num" w:pos="0"/>
        </w:tabs>
        <w:ind w:left="5417" w:hanging="446"/>
      </w:pPr>
      <w:rPr>
        <w:rFonts w:ascii="Symbol" w:hAnsi="Symbol" w:cs="Symbol" w:hint="default"/>
      </w:rPr>
    </w:lvl>
    <w:lvl w:ilvl="6">
      <w:start w:val="0"/>
      <w:numFmt w:val="bullet"/>
      <w:lvlText w:val=""/>
      <w:lvlJc w:val="left"/>
      <w:pPr>
        <w:tabs>
          <w:tab w:val="num" w:pos="0"/>
        </w:tabs>
        <w:ind w:left="6482" w:hanging="446"/>
      </w:pPr>
      <w:rPr>
        <w:rFonts w:ascii="Symbol" w:hAnsi="Symbol" w:cs="Symbol" w:hint="default"/>
      </w:rPr>
    </w:lvl>
    <w:lvl w:ilvl="7">
      <w:start w:val="0"/>
      <w:numFmt w:val="bullet"/>
      <w:lvlText w:val=""/>
      <w:lvlJc w:val="left"/>
      <w:pPr>
        <w:tabs>
          <w:tab w:val="num" w:pos="0"/>
        </w:tabs>
        <w:ind w:left="7546" w:hanging="446"/>
      </w:pPr>
      <w:rPr>
        <w:rFonts w:ascii="Symbol" w:hAnsi="Symbol" w:cs="Symbol" w:hint="default"/>
      </w:rPr>
    </w:lvl>
    <w:lvl w:ilvl="8">
      <w:start w:val="0"/>
      <w:numFmt w:val="bullet"/>
      <w:lvlText w:val=""/>
      <w:lvlJc w:val="left"/>
      <w:pPr>
        <w:tabs>
          <w:tab w:val="num" w:pos="0"/>
        </w:tabs>
        <w:ind w:left="8611" w:hanging="446"/>
      </w:pPr>
      <w:rPr>
        <w:rFonts w:ascii="Symbol" w:hAnsi="Symbol" w:cs="Symbol" w:hint="default"/>
      </w:rPr>
    </w:lvl>
  </w:abstractNum>
  <w:abstractNum w:abstractNumId="15">
    <w:lvl w:ilvl="0">
      <w:start w:val="9"/>
      <w:numFmt w:val="decimal"/>
      <w:lvlText w:val="%1"/>
      <w:lvlJc w:val="left"/>
      <w:pPr>
        <w:tabs>
          <w:tab w:val="num" w:pos="0"/>
        </w:tabs>
        <w:ind w:left="232" w:hanging="39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bullet"/>
      <w:lvlText w:val=""/>
      <w:lvlJc w:val="left"/>
      <w:pPr>
        <w:tabs>
          <w:tab w:val="num" w:pos="0"/>
        </w:tabs>
        <w:ind w:left="3390" w:hanging="757"/>
      </w:pPr>
      <w:rPr>
        <w:rFonts w:ascii="Symbol" w:hAnsi="Symbol" w:cs="Symbol" w:hint="default"/>
      </w:rPr>
    </w:lvl>
    <w:lvl w:ilvl="4">
      <w:start w:val="0"/>
      <w:numFmt w:val="bullet"/>
      <w:lvlText w:val=""/>
      <w:lvlJc w:val="left"/>
      <w:pPr>
        <w:tabs>
          <w:tab w:val="num" w:pos="0"/>
        </w:tabs>
        <w:ind w:left="4440" w:hanging="757"/>
      </w:pPr>
      <w:rPr>
        <w:rFonts w:ascii="Symbol" w:hAnsi="Symbol" w:cs="Symbol" w:hint="default"/>
      </w:rPr>
    </w:lvl>
    <w:lvl w:ilvl="5">
      <w:start w:val="0"/>
      <w:numFmt w:val="bullet"/>
      <w:lvlText w:val=""/>
      <w:lvlJc w:val="left"/>
      <w:pPr>
        <w:tabs>
          <w:tab w:val="num" w:pos="0"/>
        </w:tabs>
        <w:ind w:left="5490" w:hanging="757"/>
      </w:pPr>
      <w:rPr>
        <w:rFonts w:ascii="Symbol" w:hAnsi="Symbol" w:cs="Symbol" w:hint="default"/>
      </w:rPr>
    </w:lvl>
    <w:lvl w:ilvl="6">
      <w:start w:val="0"/>
      <w:numFmt w:val="bullet"/>
      <w:lvlText w:val=""/>
      <w:lvlJc w:val="left"/>
      <w:pPr>
        <w:tabs>
          <w:tab w:val="num" w:pos="0"/>
        </w:tabs>
        <w:ind w:left="6540" w:hanging="757"/>
      </w:pPr>
      <w:rPr>
        <w:rFonts w:ascii="Symbol" w:hAnsi="Symbol" w:cs="Symbol" w:hint="default"/>
      </w:rPr>
    </w:lvl>
    <w:lvl w:ilvl="7">
      <w:start w:val="0"/>
      <w:numFmt w:val="bullet"/>
      <w:lvlText w:val=""/>
      <w:lvlJc w:val="left"/>
      <w:pPr>
        <w:tabs>
          <w:tab w:val="num" w:pos="0"/>
        </w:tabs>
        <w:ind w:left="7590" w:hanging="757"/>
      </w:pPr>
      <w:rPr>
        <w:rFonts w:ascii="Symbol" w:hAnsi="Symbol" w:cs="Symbol" w:hint="default"/>
      </w:rPr>
    </w:lvl>
    <w:lvl w:ilvl="8">
      <w:start w:val="0"/>
      <w:numFmt w:val="bullet"/>
      <w:lvlText w:val=""/>
      <w:lvlJc w:val="left"/>
      <w:pPr>
        <w:tabs>
          <w:tab w:val="num" w:pos="0"/>
        </w:tabs>
        <w:ind w:left="8640" w:hanging="757"/>
      </w:pPr>
      <w:rPr>
        <w:rFonts w:ascii="Symbol" w:hAnsi="Symbol" w:cs="Symbol" w:hint="default"/>
      </w:rPr>
    </w:lvl>
  </w:abstractNum>
  <w:abstractNum w:abstractNumId="16">
    <w:lvl w:ilvl="0">
      <w:start w:val="6"/>
      <w:numFmt w:val="decimal"/>
      <w:lvlText w:val="%1"/>
      <w:lvlJc w:val="left"/>
      <w:pPr>
        <w:tabs>
          <w:tab w:val="num" w:pos="0"/>
        </w:tabs>
        <w:ind w:left="232" w:hanging="369"/>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bullet"/>
      <w:lvlText w:val=""/>
      <w:lvlJc w:val="left"/>
      <w:pPr>
        <w:tabs>
          <w:tab w:val="num" w:pos="0"/>
        </w:tabs>
        <w:ind w:left="2993" w:hanging="553"/>
      </w:pPr>
      <w:rPr>
        <w:rFonts w:ascii="Symbol" w:hAnsi="Symbol" w:cs="Symbol" w:hint="default"/>
      </w:rPr>
    </w:lvl>
    <w:lvl w:ilvl="4">
      <w:start w:val="0"/>
      <w:numFmt w:val="bullet"/>
      <w:lvlText w:val=""/>
      <w:lvlJc w:val="left"/>
      <w:pPr>
        <w:tabs>
          <w:tab w:val="num" w:pos="0"/>
        </w:tabs>
        <w:ind w:left="4100" w:hanging="553"/>
      </w:pPr>
      <w:rPr>
        <w:rFonts w:ascii="Symbol" w:hAnsi="Symbol" w:cs="Symbol" w:hint="default"/>
      </w:rPr>
    </w:lvl>
    <w:lvl w:ilvl="5">
      <w:start w:val="0"/>
      <w:numFmt w:val="bullet"/>
      <w:lvlText w:val=""/>
      <w:lvlJc w:val="left"/>
      <w:pPr>
        <w:tabs>
          <w:tab w:val="num" w:pos="0"/>
        </w:tabs>
        <w:ind w:left="5206" w:hanging="553"/>
      </w:pPr>
      <w:rPr>
        <w:rFonts w:ascii="Symbol" w:hAnsi="Symbol" w:cs="Symbol" w:hint="default"/>
      </w:rPr>
    </w:lvl>
    <w:lvl w:ilvl="6">
      <w:start w:val="0"/>
      <w:numFmt w:val="bullet"/>
      <w:lvlText w:val=""/>
      <w:lvlJc w:val="left"/>
      <w:pPr>
        <w:tabs>
          <w:tab w:val="num" w:pos="0"/>
        </w:tabs>
        <w:ind w:left="6313" w:hanging="553"/>
      </w:pPr>
      <w:rPr>
        <w:rFonts w:ascii="Symbol" w:hAnsi="Symbol" w:cs="Symbol" w:hint="default"/>
      </w:rPr>
    </w:lvl>
    <w:lvl w:ilvl="7">
      <w:start w:val="0"/>
      <w:numFmt w:val="bullet"/>
      <w:lvlText w:val=""/>
      <w:lvlJc w:val="left"/>
      <w:pPr>
        <w:tabs>
          <w:tab w:val="num" w:pos="0"/>
        </w:tabs>
        <w:ind w:left="7420" w:hanging="553"/>
      </w:pPr>
      <w:rPr>
        <w:rFonts w:ascii="Symbol" w:hAnsi="Symbol" w:cs="Symbol" w:hint="default"/>
      </w:rPr>
    </w:lvl>
    <w:lvl w:ilvl="8">
      <w:start w:val="0"/>
      <w:numFmt w:val="bullet"/>
      <w:lvlText w:val=""/>
      <w:lvlJc w:val="left"/>
      <w:pPr>
        <w:tabs>
          <w:tab w:val="num" w:pos="0"/>
        </w:tabs>
        <w:ind w:left="8526" w:hanging="552"/>
      </w:pPr>
      <w:rPr>
        <w:rFonts w:ascii="Symbol" w:hAnsi="Symbol" w:cs="Symbol" w:hint="default"/>
      </w:rPr>
    </w:lvl>
  </w:abstractNum>
  <w:abstractNum w:abstractNumId="17">
    <w:lvl w:ilvl="0">
      <w:start w:val="1"/>
      <w:numFmt w:val="lowerLetter"/>
      <w:lvlText w:val="%1)"/>
      <w:lvlJc w:val="left"/>
      <w:pPr>
        <w:tabs>
          <w:tab w:val="num" w:pos="0"/>
        </w:tabs>
        <w:ind w:left="232" w:hanging="287"/>
      </w:pPr>
      <w:rPr>
        <w:sz w:val="22"/>
        <w:b/>
        <w:szCs w:val="22"/>
        <w:rFonts w:ascii="Arial" w:hAnsi="Arial" w:eastAsia="Arial" w:cs="Arial"/>
      </w:rPr>
    </w:lvl>
    <w:lvl w:ilvl="1">
      <w:start w:val="0"/>
      <w:numFmt w:val="decimal"/>
      <w:lvlText w:val=""/>
      <w:lvlJc w:val="left"/>
      <w:pPr>
        <w:tabs>
          <w:tab w:val="num" w:pos="0"/>
        </w:tabs>
        <w:ind w:left="0" w:hanging="0"/>
      </w:pPr>
      <w:rPr/>
    </w:lvl>
    <w:lvl w:ilvl="2">
      <w:start w:val="0"/>
      <w:numFmt w:val="bullet"/>
      <w:lvlText w:val=""/>
      <w:lvlJc w:val="left"/>
      <w:pPr>
        <w:tabs>
          <w:tab w:val="num" w:pos="0"/>
        </w:tabs>
        <w:ind w:left="2340" w:hanging="461"/>
      </w:pPr>
      <w:rPr>
        <w:rFonts w:ascii="Symbol" w:hAnsi="Symbol" w:cs="Symbol" w:hint="default"/>
      </w:rPr>
    </w:lvl>
    <w:lvl w:ilvl="3">
      <w:start w:val="0"/>
      <w:numFmt w:val="bullet"/>
      <w:lvlText w:val=""/>
      <w:lvlJc w:val="left"/>
      <w:pPr>
        <w:tabs>
          <w:tab w:val="num" w:pos="0"/>
        </w:tabs>
        <w:ind w:left="3390" w:hanging="461"/>
      </w:pPr>
      <w:rPr>
        <w:rFonts w:ascii="Symbol" w:hAnsi="Symbol" w:cs="Symbol" w:hint="default"/>
      </w:rPr>
    </w:lvl>
    <w:lvl w:ilvl="4">
      <w:start w:val="0"/>
      <w:numFmt w:val="bullet"/>
      <w:lvlText w:val=""/>
      <w:lvlJc w:val="left"/>
      <w:pPr>
        <w:tabs>
          <w:tab w:val="num" w:pos="0"/>
        </w:tabs>
        <w:ind w:left="4440" w:hanging="461"/>
      </w:pPr>
      <w:rPr>
        <w:rFonts w:ascii="Symbol" w:hAnsi="Symbol" w:cs="Symbol" w:hint="default"/>
      </w:rPr>
    </w:lvl>
    <w:lvl w:ilvl="5">
      <w:start w:val="0"/>
      <w:numFmt w:val="bullet"/>
      <w:lvlText w:val=""/>
      <w:lvlJc w:val="left"/>
      <w:pPr>
        <w:tabs>
          <w:tab w:val="num" w:pos="0"/>
        </w:tabs>
        <w:ind w:left="5490" w:hanging="461"/>
      </w:pPr>
      <w:rPr>
        <w:rFonts w:ascii="Symbol" w:hAnsi="Symbol" w:cs="Symbol" w:hint="default"/>
      </w:rPr>
    </w:lvl>
    <w:lvl w:ilvl="6">
      <w:start w:val="0"/>
      <w:numFmt w:val="bullet"/>
      <w:lvlText w:val=""/>
      <w:lvlJc w:val="left"/>
      <w:pPr>
        <w:tabs>
          <w:tab w:val="num" w:pos="0"/>
        </w:tabs>
        <w:ind w:left="6540" w:hanging="461"/>
      </w:pPr>
      <w:rPr>
        <w:rFonts w:ascii="Symbol" w:hAnsi="Symbol" w:cs="Symbol" w:hint="default"/>
      </w:rPr>
    </w:lvl>
    <w:lvl w:ilvl="7">
      <w:start w:val="0"/>
      <w:numFmt w:val="bullet"/>
      <w:lvlText w:val=""/>
      <w:lvlJc w:val="left"/>
      <w:pPr>
        <w:tabs>
          <w:tab w:val="num" w:pos="0"/>
        </w:tabs>
        <w:ind w:left="7590" w:hanging="461"/>
      </w:pPr>
      <w:rPr>
        <w:rFonts w:ascii="Symbol" w:hAnsi="Symbol" w:cs="Symbol" w:hint="default"/>
      </w:rPr>
    </w:lvl>
    <w:lvl w:ilvl="8">
      <w:start w:val="0"/>
      <w:numFmt w:val="bullet"/>
      <w:lvlText w:val=""/>
      <w:lvlJc w:val="left"/>
      <w:pPr>
        <w:tabs>
          <w:tab w:val="num" w:pos="0"/>
        </w:tabs>
        <w:ind w:left="8640" w:hanging="461"/>
      </w:pPr>
      <w:rPr>
        <w:rFonts w:ascii="Symbol" w:hAnsi="Symbol" w:cs="Symbol" w:hint="default"/>
      </w:rPr>
    </w:lvl>
  </w:abstractNum>
  <w:abstractNum w:abstractNumId="18">
    <w:lvl w:ilvl="0">
      <w:start w:val="1"/>
      <w:numFmt w:val="decimal"/>
      <w:lvlText w:val="%1"/>
      <w:lvlJc w:val="left"/>
      <w:pPr>
        <w:tabs>
          <w:tab w:val="num" w:pos="0"/>
        </w:tabs>
        <w:ind w:left="416" w:hanging="185"/>
      </w:pPr>
      <w:rPr>
        <w:sz w:val="22"/>
        <w:b/>
        <w:szCs w:val="22"/>
        <w:rFonts w:ascii="Arial" w:hAnsi="Arial" w:eastAsia="Arial" w:cs="Arial"/>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bullet"/>
      <w:lvlText w:val=""/>
      <w:lvlJc w:val="left"/>
      <w:pPr>
        <w:tabs>
          <w:tab w:val="num" w:pos="0"/>
        </w:tabs>
        <w:ind w:left="780" w:hanging="876"/>
      </w:pPr>
      <w:rPr>
        <w:rFonts w:ascii="Symbol" w:hAnsi="Symbol" w:cs="Symbol" w:hint="default"/>
      </w:rPr>
    </w:lvl>
    <w:lvl w:ilvl="5">
      <w:start w:val="0"/>
      <w:numFmt w:val="bullet"/>
      <w:lvlText w:val=""/>
      <w:lvlJc w:val="left"/>
      <w:pPr>
        <w:tabs>
          <w:tab w:val="num" w:pos="0"/>
        </w:tabs>
        <w:ind w:left="2440" w:hanging="876"/>
      </w:pPr>
      <w:rPr>
        <w:rFonts w:ascii="Symbol" w:hAnsi="Symbol" w:cs="Symbol" w:hint="default"/>
      </w:rPr>
    </w:lvl>
    <w:lvl w:ilvl="6">
      <w:start w:val="0"/>
      <w:numFmt w:val="bullet"/>
      <w:lvlText w:val=""/>
      <w:lvlJc w:val="left"/>
      <w:pPr>
        <w:tabs>
          <w:tab w:val="num" w:pos="0"/>
        </w:tabs>
        <w:ind w:left="4100" w:hanging="876"/>
      </w:pPr>
      <w:rPr>
        <w:rFonts w:ascii="Symbol" w:hAnsi="Symbol" w:cs="Symbol" w:hint="default"/>
      </w:rPr>
    </w:lvl>
    <w:lvl w:ilvl="7">
      <w:start w:val="0"/>
      <w:numFmt w:val="bullet"/>
      <w:lvlText w:val=""/>
      <w:lvlJc w:val="left"/>
      <w:pPr>
        <w:tabs>
          <w:tab w:val="num" w:pos="0"/>
        </w:tabs>
        <w:ind w:left="5760" w:hanging="876"/>
      </w:pPr>
      <w:rPr>
        <w:rFonts w:ascii="Symbol" w:hAnsi="Symbol" w:cs="Symbol" w:hint="default"/>
      </w:rPr>
    </w:lvl>
    <w:lvl w:ilvl="8">
      <w:start w:val="0"/>
      <w:numFmt w:val="bullet"/>
      <w:lvlText w:val=""/>
      <w:lvlJc w:val="left"/>
      <w:pPr>
        <w:tabs>
          <w:tab w:val="num" w:pos="0"/>
        </w:tabs>
        <w:ind w:left="7420" w:hanging="876"/>
      </w:pPr>
      <w:rPr>
        <w:rFonts w:ascii="Symbol" w:hAnsi="Symbol" w:cs="Symbol" w:hint="default"/>
      </w:rPr>
    </w:lvl>
  </w:abstractNum>
  <w:abstractNum w:abstractNumId="19">
    <w:lvl w:ilvl="0">
      <w:start w:val="1"/>
      <w:numFmt w:val="lowerLetter"/>
      <w:lvlText w:val="%1)"/>
      <w:lvlJc w:val="left"/>
      <w:pPr>
        <w:tabs>
          <w:tab w:val="num" w:pos="0"/>
        </w:tabs>
        <w:ind w:left="969" w:hanging="245"/>
      </w:pPr>
      <w:rPr>
        <w:sz w:val="22"/>
        <w:szCs w:val="22"/>
        <w:rFonts w:ascii="Arial" w:hAnsi="Arial" w:eastAsia="Arial" w:cs="Arial"/>
      </w:rPr>
    </w:lvl>
    <w:lvl w:ilvl="1">
      <w:start w:val="0"/>
      <w:numFmt w:val="bullet"/>
      <w:lvlText w:val=""/>
      <w:lvlJc w:val="left"/>
      <w:pPr>
        <w:tabs>
          <w:tab w:val="num" w:pos="0"/>
        </w:tabs>
        <w:ind w:left="1938" w:hanging="245"/>
      </w:pPr>
      <w:rPr>
        <w:rFonts w:ascii="Symbol" w:hAnsi="Symbol" w:cs="Symbol" w:hint="default"/>
      </w:rPr>
    </w:lvl>
    <w:lvl w:ilvl="2">
      <w:start w:val="0"/>
      <w:numFmt w:val="bullet"/>
      <w:lvlText w:val=""/>
      <w:lvlJc w:val="left"/>
      <w:pPr>
        <w:tabs>
          <w:tab w:val="num" w:pos="0"/>
        </w:tabs>
        <w:ind w:left="2916" w:hanging="246"/>
      </w:pPr>
      <w:rPr>
        <w:rFonts w:ascii="Symbol" w:hAnsi="Symbol" w:cs="Symbol" w:hint="default"/>
      </w:rPr>
    </w:lvl>
    <w:lvl w:ilvl="3">
      <w:start w:val="0"/>
      <w:numFmt w:val="bullet"/>
      <w:lvlText w:val=""/>
      <w:lvlJc w:val="left"/>
      <w:pPr>
        <w:tabs>
          <w:tab w:val="num" w:pos="0"/>
        </w:tabs>
        <w:ind w:left="3894" w:hanging="246"/>
      </w:pPr>
      <w:rPr>
        <w:rFonts w:ascii="Symbol" w:hAnsi="Symbol" w:cs="Symbol" w:hint="default"/>
      </w:rPr>
    </w:lvl>
    <w:lvl w:ilvl="4">
      <w:start w:val="0"/>
      <w:numFmt w:val="bullet"/>
      <w:lvlText w:val=""/>
      <w:lvlJc w:val="left"/>
      <w:pPr>
        <w:tabs>
          <w:tab w:val="num" w:pos="0"/>
        </w:tabs>
        <w:ind w:left="4872" w:hanging="246"/>
      </w:pPr>
      <w:rPr>
        <w:rFonts w:ascii="Symbol" w:hAnsi="Symbol" w:cs="Symbol" w:hint="default"/>
      </w:rPr>
    </w:lvl>
    <w:lvl w:ilvl="5">
      <w:start w:val="0"/>
      <w:numFmt w:val="bullet"/>
      <w:lvlText w:val=""/>
      <w:lvlJc w:val="left"/>
      <w:pPr>
        <w:tabs>
          <w:tab w:val="num" w:pos="0"/>
        </w:tabs>
        <w:ind w:left="5850" w:hanging="246"/>
      </w:pPr>
      <w:rPr>
        <w:rFonts w:ascii="Symbol" w:hAnsi="Symbol" w:cs="Symbol" w:hint="default"/>
      </w:rPr>
    </w:lvl>
    <w:lvl w:ilvl="6">
      <w:start w:val="0"/>
      <w:numFmt w:val="bullet"/>
      <w:lvlText w:val=""/>
      <w:lvlJc w:val="left"/>
      <w:pPr>
        <w:tabs>
          <w:tab w:val="num" w:pos="0"/>
        </w:tabs>
        <w:ind w:left="6828" w:hanging="246"/>
      </w:pPr>
      <w:rPr>
        <w:rFonts w:ascii="Symbol" w:hAnsi="Symbol" w:cs="Symbol" w:hint="default"/>
      </w:rPr>
    </w:lvl>
    <w:lvl w:ilvl="7">
      <w:start w:val="0"/>
      <w:numFmt w:val="bullet"/>
      <w:lvlText w:val=""/>
      <w:lvlJc w:val="left"/>
      <w:pPr>
        <w:tabs>
          <w:tab w:val="num" w:pos="0"/>
        </w:tabs>
        <w:ind w:left="7806" w:hanging="246"/>
      </w:pPr>
      <w:rPr>
        <w:rFonts w:ascii="Symbol" w:hAnsi="Symbol" w:cs="Symbol" w:hint="default"/>
      </w:rPr>
    </w:lvl>
    <w:lvl w:ilvl="8">
      <w:start w:val="0"/>
      <w:numFmt w:val="bullet"/>
      <w:lvlText w:val=""/>
      <w:lvlJc w:val="left"/>
      <w:pPr>
        <w:tabs>
          <w:tab w:val="num" w:pos="0"/>
        </w:tabs>
        <w:ind w:left="8784" w:hanging="246"/>
      </w:pPr>
      <w:rPr>
        <w:rFonts w:ascii="Symbol" w:hAnsi="Symbol" w:cs="Symbol" w:hint="default"/>
      </w:rPr>
    </w:lvl>
  </w:abstractNum>
  <w:abstractNum w:abstractNumId="20">
    <w:lvl w:ilvl="0">
      <w:start w:val="1"/>
      <w:numFmt w:val="lowerLetter"/>
      <w:lvlText w:val="%1)"/>
      <w:lvlJc w:val="left"/>
      <w:pPr>
        <w:tabs>
          <w:tab w:val="num" w:pos="0"/>
        </w:tabs>
        <w:ind w:left="493" w:hanging="262"/>
      </w:pPr>
      <w:rPr>
        <w:sz w:val="24"/>
        <w:b w:val="false"/>
        <w:szCs w:val="24"/>
        <w:rFonts w:ascii="Times New Roman" w:hAnsi="Times New Roman" w:eastAsia="Times New Roman" w:cs="Times New Roman"/>
      </w:rPr>
    </w:lvl>
    <w:lvl w:ilvl="1">
      <w:start w:val="0"/>
      <w:numFmt w:val="bullet"/>
      <w:lvlText w:val=""/>
      <w:lvlJc w:val="left"/>
      <w:pPr>
        <w:tabs>
          <w:tab w:val="num" w:pos="0"/>
        </w:tabs>
        <w:ind w:left="1524" w:hanging="262"/>
      </w:pPr>
      <w:rPr>
        <w:rFonts w:ascii="Symbol" w:hAnsi="Symbol" w:cs="Symbol" w:hint="default"/>
      </w:rPr>
    </w:lvl>
    <w:lvl w:ilvl="2">
      <w:start w:val="0"/>
      <w:numFmt w:val="bullet"/>
      <w:lvlText w:val=""/>
      <w:lvlJc w:val="left"/>
      <w:pPr>
        <w:tabs>
          <w:tab w:val="num" w:pos="0"/>
        </w:tabs>
        <w:ind w:left="2548" w:hanging="262"/>
      </w:pPr>
      <w:rPr>
        <w:rFonts w:ascii="Symbol" w:hAnsi="Symbol" w:cs="Symbol" w:hint="default"/>
      </w:rPr>
    </w:lvl>
    <w:lvl w:ilvl="3">
      <w:start w:val="0"/>
      <w:numFmt w:val="bullet"/>
      <w:lvlText w:val=""/>
      <w:lvlJc w:val="left"/>
      <w:pPr>
        <w:tabs>
          <w:tab w:val="num" w:pos="0"/>
        </w:tabs>
        <w:ind w:left="3572" w:hanging="262"/>
      </w:pPr>
      <w:rPr>
        <w:rFonts w:ascii="Symbol" w:hAnsi="Symbol" w:cs="Symbol" w:hint="default"/>
      </w:rPr>
    </w:lvl>
    <w:lvl w:ilvl="4">
      <w:start w:val="0"/>
      <w:numFmt w:val="bullet"/>
      <w:lvlText w:val=""/>
      <w:lvlJc w:val="left"/>
      <w:pPr>
        <w:tabs>
          <w:tab w:val="num" w:pos="0"/>
        </w:tabs>
        <w:ind w:left="4596" w:hanging="262"/>
      </w:pPr>
      <w:rPr>
        <w:rFonts w:ascii="Symbol" w:hAnsi="Symbol" w:cs="Symbol" w:hint="default"/>
      </w:rPr>
    </w:lvl>
    <w:lvl w:ilvl="5">
      <w:start w:val="0"/>
      <w:numFmt w:val="bullet"/>
      <w:lvlText w:val=""/>
      <w:lvlJc w:val="left"/>
      <w:pPr>
        <w:tabs>
          <w:tab w:val="num" w:pos="0"/>
        </w:tabs>
        <w:ind w:left="5620" w:hanging="262"/>
      </w:pPr>
      <w:rPr>
        <w:rFonts w:ascii="Symbol" w:hAnsi="Symbol" w:cs="Symbol" w:hint="default"/>
      </w:rPr>
    </w:lvl>
    <w:lvl w:ilvl="6">
      <w:start w:val="0"/>
      <w:numFmt w:val="bullet"/>
      <w:lvlText w:val=""/>
      <w:lvlJc w:val="left"/>
      <w:pPr>
        <w:tabs>
          <w:tab w:val="num" w:pos="0"/>
        </w:tabs>
        <w:ind w:left="6644" w:hanging="262"/>
      </w:pPr>
      <w:rPr>
        <w:rFonts w:ascii="Symbol" w:hAnsi="Symbol" w:cs="Symbol" w:hint="default"/>
      </w:rPr>
    </w:lvl>
    <w:lvl w:ilvl="7">
      <w:start w:val="0"/>
      <w:numFmt w:val="bullet"/>
      <w:lvlText w:val=""/>
      <w:lvlJc w:val="left"/>
      <w:pPr>
        <w:tabs>
          <w:tab w:val="num" w:pos="0"/>
        </w:tabs>
        <w:ind w:left="7668" w:hanging="262"/>
      </w:pPr>
      <w:rPr>
        <w:rFonts w:ascii="Symbol" w:hAnsi="Symbol" w:cs="Symbol" w:hint="default"/>
      </w:rPr>
    </w:lvl>
    <w:lvl w:ilvl="8">
      <w:start w:val="0"/>
      <w:numFmt w:val="bullet"/>
      <w:lvlText w:val=""/>
      <w:lvlJc w:val="left"/>
      <w:pPr>
        <w:tabs>
          <w:tab w:val="num" w:pos="0"/>
        </w:tabs>
        <w:ind w:left="8692" w:hanging="262"/>
      </w:pPr>
      <w:rPr>
        <w:rFonts w:ascii="Symbol" w:hAnsi="Symbol" w:cs="Symbol" w:hint="default"/>
      </w:rPr>
    </w:lvl>
  </w:abstractNum>
  <w:abstractNum w:abstractNumId="21">
    <w:lvl w:ilvl="0">
      <w:start w:val="1"/>
      <w:numFmt w:val="decimal"/>
      <w:lvlText w:val=""/>
      <w:lvlJc w:val="left"/>
      <w:pPr>
        <w:tabs>
          <w:tab w:val="num" w:pos="0"/>
        </w:tabs>
        <w:ind w:left="0" w:hanging="0"/>
      </w:pPr>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864" w:hanging="864"/>
      </w:pPr>
      <w:rPr/>
    </w:lvl>
    <w:lvl w:ilvl="4">
      <w:start w:val="1"/>
      <w:numFmt w:val="decimal"/>
      <w:lvlText w:val=""/>
      <w:lvlJc w:val="left"/>
      <w:pPr>
        <w:tabs>
          <w:tab w:val="num" w:pos="0"/>
        </w:tabs>
        <w:ind w:left="1008" w:hanging="1008"/>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22">
    <w:lvl w:ilvl="0">
      <w:start w:val="6"/>
      <w:numFmt w:val="decimal"/>
      <w:lvlText w:val="%1."/>
      <w:lvlJc w:val="left"/>
      <w:pPr>
        <w:tabs>
          <w:tab w:val="num" w:pos="0"/>
        </w:tabs>
        <w:ind w:left="360" w:hanging="360"/>
      </w:pPr>
      <w:rPr/>
    </w:lvl>
    <w:lvl w:ilvl="1">
      <w:start w:val="7"/>
      <w:numFmt w:val="decimal"/>
      <w:lvlText w:val="%1.%2."/>
      <w:lvlJc w:val="left"/>
      <w:pPr>
        <w:tabs>
          <w:tab w:val="num" w:pos="0"/>
        </w:tabs>
        <w:ind w:left="960" w:hanging="360"/>
      </w:pPr>
      <w:rPr>
        <w:b/>
      </w:rPr>
    </w:lvl>
    <w:lvl w:ilvl="2">
      <w:start w:val="1"/>
      <w:numFmt w:val="decimal"/>
      <w:lvlText w:val="%1.%2.%3."/>
      <w:lvlJc w:val="left"/>
      <w:pPr>
        <w:tabs>
          <w:tab w:val="num" w:pos="0"/>
        </w:tabs>
        <w:ind w:left="1920" w:hanging="720"/>
      </w:pPr>
      <w:rPr/>
    </w:lvl>
    <w:lvl w:ilvl="3">
      <w:start w:val="1"/>
      <w:numFmt w:val="decimal"/>
      <w:lvlText w:val="%1.%2.%3.%4."/>
      <w:lvlJc w:val="left"/>
      <w:pPr>
        <w:tabs>
          <w:tab w:val="num" w:pos="0"/>
        </w:tabs>
        <w:ind w:left="2520" w:hanging="720"/>
      </w:pPr>
      <w:rPr/>
    </w:lvl>
    <w:lvl w:ilvl="4">
      <w:start w:val="1"/>
      <w:numFmt w:val="decimal"/>
      <w:lvlText w:val="%1.%2.%3.%4.%5."/>
      <w:lvlJc w:val="left"/>
      <w:pPr>
        <w:tabs>
          <w:tab w:val="num" w:pos="0"/>
        </w:tabs>
        <w:ind w:left="3480" w:hanging="1080"/>
      </w:pPr>
      <w:rPr/>
    </w:lvl>
    <w:lvl w:ilvl="5">
      <w:start w:val="1"/>
      <w:numFmt w:val="decimal"/>
      <w:lvlText w:val="%1.%2.%3.%4.%5.%6."/>
      <w:lvlJc w:val="left"/>
      <w:pPr>
        <w:tabs>
          <w:tab w:val="num" w:pos="0"/>
        </w:tabs>
        <w:ind w:left="4080" w:hanging="1080"/>
      </w:pPr>
      <w:rPr/>
    </w:lvl>
    <w:lvl w:ilvl="6">
      <w:start w:val="1"/>
      <w:numFmt w:val="decimal"/>
      <w:lvlText w:val="%1.%2.%3.%4.%5.%6.%7."/>
      <w:lvlJc w:val="left"/>
      <w:pPr>
        <w:tabs>
          <w:tab w:val="num" w:pos="0"/>
        </w:tabs>
        <w:ind w:left="5040" w:hanging="1440"/>
      </w:pPr>
      <w:rPr/>
    </w:lvl>
    <w:lvl w:ilvl="7">
      <w:start w:val="1"/>
      <w:numFmt w:val="decimal"/>
      <w:lvlText w:val="%1.%2.%3.%4.%5.%6.%7.%8."/>
      <w:lvlJc w:val="left"/>
      <w:pPr>
        <w:tabs>
          <w:tab w:val="num" w:pos="0"/>
        </w:tabs>
        <w:ind w:left="5640" w:hanging="1440"/>
      </w:pPr>
      <w:rPr/>
    </w:lvl>
    <w:lvl w:ilvl="8">
      <w:start w:val="1"/>
      <w:numFmt w:val="decimal"/>
      <w:lvlText w:val="%1.%2.%3.%4.%5.%6.%7.%8.%9."/>
      <w:lvlJc w:val="left"/>
      <w:pPr>
        <w:tabs>
          <w:tab w:val="num" w:pos="0"/>
        </w:tabs>
        <w:ind w:left="6600" w:hanging="1800"/>
      </w:pPr>
      <w:rPr/>
    </w:lvl>
  </w:abstractNum>
  <w:abstractNum w:abstractNumId="23">
    <w:lvl w:ilvl="0">
      <w:start w:val="7"/>
      <w:numFmt w:val="decimal"/>
      <w:lvlText w:val="%1."/>
      <w:lvlJc w:val="left"/>
      <w:pPr>
        <w:tabs>
          <w:tab w:val="num" w:pos="0"/>
        </w:tabs>
        <w:ind w:left="360" w:hanging="360"/>
      </w:pPr>
      <w:rPr/>
    </w:lvl>
    <w:lvl w:ilvl="1">
      <w:start w:val="1"/>
      <w:numFmt w:val="decimal"/>
      <w:lvlText w:val="%1.%2."/>
      <w:lvlJc w:val="left"/>
      <w:pPr>
        <w:tabs>
          <w:tab w:val="num" w:pos="0"/>
        </w:tabs>
        <w:ind w:left="592" w:hanging="360"/>
      </w:pPr>
      <w:rPr>
        <w:b/>
      </w:rPr>
    </w:lvl>
    <w:lvl w:ilvl="2">
      <w:start w:val="1"/>
      <w:numFmt w:val="decimal"/>
      <w:lvlText w:val="%1.%2.%3."/>
      <w:lvlJc w:val="left"/>
      <w:pPr>
        <w:tabs>
          <w:tab w:val="num" w:pos="0"/>
        </w:tabs>
        <w:ind w:left="1184" w:hanging="720"/>
      </w:pPr>
      <w:rPr/>
    </w:lvl>
    <w:lvl w:ilvl="3">
      <w:start w:val="1"/>
      <w:numFmt w:val="decimal"/>
      <w:lvlText w:val="%1.%2.%3.%4."/>
      <w:lvlJc w:val="left"/>
      <w:pPr>
        <w:tabs>
          <w:tab w:val="num" w:pos="0"/>
        </w:tabs>
        <w:ind w:left="1416" w:hanging="720"/>
      </w:pPr>
      <w:rPr/>
    </w:lvl>
    <w:lvl w:ilvl="4">
      <w:start w:val="1"/>
      <w:numFmt w:val="decimal"/>
      <w:lvlText w:val="%1.%2.%3.%4.%5."/>
      <w:lvlJc w:val="left"/>
      <w:pPr>
        <w:tabs>
          <w:tab w:val="num" w:pos="0"/>
        </w:tabs>
        <w:ind w:left="2008" w:hanging="1080"/>
      </w:pPr>
      <w:rPr/>
    </w:lvl>
    <w:lvl w:ilvl="5">
      <w:start w:val="1"/>
      <w:numFmt w:val="decimal"/>
      <w:lvlText w:val="%1.%2.%3.%4.%5.%6."/>
      <w:lvlJc w:val="left"/>
      <w:pPr>
        <w:tabs>
          <w:tab w:val="num" w:pos="0"/>
        </w:tabs>
        <w:ind w:left="2240" w:hanging="1080"/>
      </w:pPr>
      <w:rPr/>
    </w:lvl>
    <w:lvl w:ilvl="6">
      <w:start w:val="1"/>
      <w:numFmt w:val="decimal"/>
      <w:lvlText w:val="%1.%2.%3.%4.%5.%6.%7."/>
      <w:lvlJc w:val="left"/>
      <w:pPr>
        <w:tabs>
          <w:tab w:val="num" w:pos="0"/>
        </w:tabs>
        <w:ind w:left="2832" w:hanging="1440"/>
      </w:pPr>
      <w:rPr/>
    </w:lvl>
    <w:lvl w:ilvl="7">
      <w:start w:val="1"/>
      <w:numFmt w:val="decimal"/>
      <w:lvlText w:val="%1.%2.%3.%4.%5.%6.%7.%8."/>
      <w:lvlJc w:val="left"/>
      <w:pPr>
        <w:tabs>
          <w:tab w:val="num" w:pos="0"/>
        </w:tabs>
        <w:ind w:left="3064" w:hanging="1440"/>
      </w:pPr>
      <w:rPr/>
    </w:lvl>
    <w:lvl w:ilvl="8">
      <w:start w:val="1"/>
      <w:numFmt w:val="decimal"/>
      <w:lvlText w:val="%1.%2.%3.%4.%5.%6.%7.%8.%9."/>
      <w:lvlJc w:val="left"/>
      <w:pPr>
        <w:tabs>
          <w:tab w:val="num" w:pos="0"/>
        </w:tabs>
        <w:ind w:left="3656" w:hanging="1799"/>
      </w:pPr>
      <w:rPr/>
    </w:lvl>
  </w:abstractNum>
  <w:abstractNum w:abstractNumId="24">
    <w:lvl w:ilvl="0">
      <w:start w:val="17"/>
      <w:numFmt w:val="decimal"/>
      <w:lvlText w:val="%1."/>
      <w:lvlJc w:val="left"/>
      <w:pPr>
        <w:tabs>
          <w:tab w:val="num" w:pos="0"/>
        </w:tabs>
        <w:ind w:left="480" w:hanging="480"/>
      </w:pPr>
      <w:rPr/>
    </w:lvl>
    <w:lvl w:ilvl="1">
      <w:start w:val="1"/>
      <w:numFmt w:val="decimal"/>
      <w:lvlText w:val="%1.%2."/>
      <w:lvlJc w:val="left"/>
      <w:pPr>
        <w:tabs>
          <w:tab w:val="num" w:pos="0"/>
        </w:tabs>
        <w:ind w:left="712" w:hanging="480"/>
      </w:pPr>
      <w:rPr>
        <w:b/>
      </w:rPr>
    </w:lvl>
    <w:lvl w:ilvl="2">
      <w:start w:val="1"/>
      <w:numFmt w:val="decimal"/>
      <w:lvlText w:val="%1.%2.%3."/>
      <w:lvlJc w:val="left"/>
      <w:pPr>
        <w:tabs>
          <w:tab w:val="num" w:pos="0"/>
        </w:tabs>
        <w:ind w:left="1184" w:hanging="720"/>
      </w:pPr>
      <w:rPr/>
    </w:lvl>
    <w:lvl w:ilvl="3">
      <w:start w:val="1"/>
      <w:numFmt w:val="decimal"/>
      <w:lvlText w:val="%1.%2.%3.%4."/>
      <w:lvlJc w:val="left"/>
      <w:pPr>
        <w:tabs>
          <w:tab w:val="num" w:pos="0"/>
        </w:tabs>
        <w:ind w:left="1416" w:hanging="720"/>
      </w:pPr>
      <w:rPr/>
    </w:lvl>
    <w:lvl w:ilvl="4">
      <w:start w:val="1"/>
      <w:numFmt w:val="decimal"/>
      <w:lvlText w:val="%1.%2.%3.%4.%5."/>
      <w:lvlJc w:val="left"/>
      <w:pPr>
        <w:tabs>
          <w:tab w:val="num" w:pos="0"/>
        </w:tabs>
        <w:ind w:left="2008" w:hanging="1080"/>
      </w:pPr>
      <w:rPr/>
    </w:lvl>
    <w:lvl w:ilvl="5">
      <w:start w:val="1"/>
      <w:numFmt w:val="decimal"/>
      <w:lvlText w:val="%1.%2.%3.%4.%5.%6."/>
      <w:lvlJc w:val="left"/>
      <w:pPr>
        <w:tabs>
          <w:tab w:val="num" w:pos="0"/>
        </w:tabs>
        <w:ind w:left="2240" w:hanging="1080"/>
      </w:pPr>
      <w:rPr/>
    </w:lvl>
    <w:lvl w:ilvl="6">
      <w:start w:val="1"/>
      <w:numFmt w:val="decimal"/>
      <w:lvlText w:val="%1.%2.%3.%4.%5.%6.%7."/>
      <w:lvlJc w:val="left"/>
      <w:pPr>
        <w:tabs>
          <w:tab w:val="num" w:pos="0"/>
        </w:tabs>
        <w:ind w:left="2832" w:hanging="1440"/>
      </w:pPr>
      <w:rPr/>
    </w:lvl>
    <w:lvl w:ilvl="7">
      <w:start w:val="1"/>
      <w:numFmt w:val="decimal"/>
      <w:lvlText w:val="%1.%2.%3.%4.%5.%6.%7.%8."/>
      <w:lvlJc w:val="left"/>
      <w:pPr>
        <w:tabs>
          <w:tab w:val="num" w:pos="0"/>
        </w:tabs>
        <w:ind w:left="3064" w:hanging="1440"/>
      </w:pPr>
      <w:rPr/>
    </w:lvl>
    <w:lvl w:ilvl="8">
      <w:start w:val="1"/>
      <w:numFmt w:val="decimal"/>
      <w:lvlText w:val="%1.%2.%3.%4.%5.%6.%7.%8.%9."/>
      <w:lvlJc w:val="left"/>
      <w:pPr>
        <w:tabs>
          <w:tab w:val="num" w:pos="0"/>
        </w:tabs>
        <w:ind w:left="3656" w:hanging="1799"/>
      </w:pPr>
      <w:rPr/>
    </w:lvl>
  </w:abstractNum>
  <w:abstractNum w:abstractNumId="25">
    <w:lvl w:ilvl="0">
      <w:start w:val="19"/>
      <w:numFmt w:val="decimal"/>
      <w:lvlText w:val="%1."/>
      <w:lvlJc w:val="left"/>
      <w:pPr>
        <w:tabs>
          <w:tab w:val="num" w:pos="0"/>
        </w:tabs>
        <w:ind w:left="480" w:hanging="480"/>
      </w:pPr>
      <w:rPr/>
    </w:lvl>
    <w:lvl w:ilvl="1">
      <w:start w:val="1"/>
      <w:numFmt w:val="decimal"/>
      <w:lvlText w:val="%1.%2."/>
      <w:lvlJc w:val="left"/>
      <w:pPr>
        <w:tabs>
          <w:tab w:val="num" w:pos="0"/>
        </w:tabs>
        <w:ind w:left="480" w:hanging="48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6">
    <w:lvl w:ilvl="0">
      <w:start w:val="7"/>
      <w:numFmt w:val="decimal"/>
      <w:lvlText w:val="%1"/>
      <w:lvlJc w:val="left"/>
      <w:pPr>
        <w:tabs>
          <w:tab w:val="num" w:pos="0"/>
        </w:tabs>
        <w:ind w:left="232" w:hanging="431"/>
      </w:pPr>
      <w:rPr/>
    </w:lvl>
    <w:lvl w:ilvl="1">
      <w:start w:val="0"/>
      <w:numFmt w:val="decimal"/>
      <w:lvlText w:val=""/>
      <w:lvlJc w:val="left"/>
      <w:pPr>
        <w:tabs>
          <w:tab w:val="num" w:pos="0"/>
        </w:tabs>
        <w:ind w:left="0" w:hanging="0"/>
      </w:pPr>
      <w:rPr/>
    </w:lvl>
    <w:lvl w:ilvl="2">
      <w:start w:val="0"/>
      <w:numFmt w:val="bullet"/>
      <w:lvlText w:val=""/>
      <w:lvlJc w:val="left"/>
      <w:pPr>
        <w:tabs>
          <w:tab w:val="num" w:pos="0"/>
        </w:tabs>
        <w:ind w:left="2340" w:hanging="431"/>
      </w:pPr>
      <w:rPr>
        <w:rFonts w:ascii="Symbol" w:hAnsi="Symbol" w:cs="Symbol" w:hint="default"/>
      </w:rPr>
    </w:lvl>
    <w:lvl w:ilvl="3">
      <w:start w:val="0"/>
      <w:numFmt w:val="bullet"/>
      <w:lvlText w:val=""/>
      <w:lvlJc w:val="left"/>
      <w:pPr>
        <w:tabs>
          <w:tab w:val="num" w:pos="0"/>
        </w:tabs>
        <w:ind w:left="3390" w:hanging="431"/>
      </w:pPr>
      <w:rPr>
        <w:rFonts w:ascii="Symbol" w:hAnsi="Symbol" w:cs="Symbol" w:hint="default"/>
      </w:rPr>
    </w:lvl>
    <w:lvl w:ilvl="4">
      <w:start w:val="0"/>
      <w:numFmt w:val="bullet"/>
      <w:lvlText w:val=""/>
      <w:lvlJc w:val="left"/>
      <w:pPr>
        <w:tabs>
          <w:tab w:val="num" w:pos="0"/>
        </w:tabs>
        <w:ind w:left="4440" w:hanging="431"/>
      </w:pPr>
      <w:rPr>
        <w:rFonts w:ascii="Symbol" w:hAnsi="Symbol" w:cs="Symbol" w:hint="default"/>
      </w:rPr>
    </w:lvl>
    <w:lvl w:ilvl="5">
      <w:start w:val="0"/>
      <w:numFmt w:val="bullet"/>
      <w:lvlText w:val=""/>
      <w:lvlJc w:val="left"/>
      <w:pPr>
        <w:tabs>
          <w:tab w:val="num" w:pos="0"/>
        </w:tabs>
        <w:ind w:left="5490" w:hanging="431"/>
      </w:pPr>
      <w:rPr>
        <w:rFonts w:ascii="Symbol" w:hAnsi="Symbol" w:cs="Symbol" w:hint="default"/>
      </w:rPr>
    </w:lvl>
    <w:lvl w:ilvl="6">
      <w:start w:val="0"/>
      <w:numFmt w:val="bullet"/>
      <w:lvlText w:val=""/>
      <w:lvlJc w:val="left"/>
      <w:pPr>
        <w:tabs>
          <w:tab w:val="num" w:pos="0"/>
        </w:tabs>
        <w:ind w:left="6540" w:hanging="431"/>
      </w:pPr>
      <w:rPr>
        <w:rFonts w:ascii="Symbol" w:hAnsi="Symbol" w:cs="Symbol" w:hint="default"/>
      </w:rPr>
    </w:lvl>
    <w:lvl w:ilvl="7">
      <w:start w:val="0"/>
      <w:numFmt w:val="bullet"/>
      <w:lvlText w:val=""/>
      <w:lvlJc w:val="left"/>
      <w:pPr>
        <w:tabs>
          <w:tab w:val="num" w:pos="0"/>
        </w:tabs>
        <w:ind w:left="7590" w:hanging="431"/>
      </w:pPr>
      <w:rPr>
        <w:rFonts w:ascii="Symbol" w:hAnsi="Symbol" w:cs="Symbol" w:hint="default"/>
      </w:rPr>
    </w:lvl>
    <w:lvl w:ilvl="8">
      <w:start w:val="0"/>
      <w:numFmt w:val="bullet"/>
      <w:lvlText w:val=""/>
      <w:lvlJc w:val="left"/>
      <w:pPr>
        <w:tabs>
          <w:tab w:val="num" w:pos="0"/>
        </w:tabs>
        <w:ind w:left="8640" w:hanging="431"/>
      </w:pPr>
      <w:rPr>
        <w:rFonts w:ascii="Symbol" w:hAnsi="Symbol" w:cs="Symbol" w:hint="default"/>
      </w:rPr>
    </w:lvl>
  </w:abstractNum>
  <w:abstractNum w:abstractNumId="27">
    <w:lvl w:ilvl="0">
      <w:start w:val="1"/>
      <w:numFmt w:val="decimal"/>
      <w:lvlText w:val="%1."/>
      <w:lvlJc w:val="left"/>
      <w:pPr>
        <w:tabs>
          <w:tab w:val="num" w:pos="0"/>
        </w:tabs>
        <w:ind w:left="1005" w:hanging="1005"/>
      </w:pPr>
      <w:rPr>
        <w:u w:val="none"/>
      </w:rPr>
    </w:lvl>
    <w:lvl w:ilvl="1">
      <w:start w:val="1"/>
      <w:numFmt w:val="decimal"/>
      <w:lvlText w:val="%1.%2."/>
      <w:lvlJc w:val="left"/>
      <w:pPr>
        <w:tabs>
          <w:tab w:val="num" w:pos="0"/>
        </w:tabs>
        <w:ind w:left="285" w:hanging="399"/>
      </w:pPr>
      <w:rPr>
        <w:u w:val="none"/>
      </w:rPr>
    </w:lvl>
    <w:lvl w:ilvl="2">
      <w:start w:val="1"/>
      <w:numFmt w:val="decimal"/>
      <w:lvlText w:val="%1.%2.%3."/>
      <w:lvlJc w:val="left"/>
      <w:pPr>
        <w:tabs>
          <w:tab w:val="num" w:pos="0"/>
        </w:tabs>
        <w:ind w:left="285" w:hanging="708"/>
      </w:pPr>
      <w:rPr>
        <w:u w:val="none"/>
      </w:rPr>
    </w:lvl>
    <w:lvl w:ilvl="3">
      <w:start w:val="0"/>
      <w:numFmt w:val="bullet"/>
      <w:lvlText w:val=""/>
      <w:lvlJc w:val="left"/>
      <w:pPr>
        <w:tabs>
          <w:tab w:val="num" w:pos="0"/>
        </w:tabs>
        <w:ind w:left="2793" w:hanging="708"/>
      </w:pPr>
      <w:rPr>
        <w:rFonts w:ascii="Symbol" w:hAnsi="Symbol" w:cs="Symbol" w:hint="default"/>
        <w:u w:val="none"/>
      </w:rPr>
    </w:lvl>
    <w:lvl w:ilvl="4">
      <w:start w:val="0"/>
      <w:numFmt w:val="bullet"/>
      <w:lvlText w:val=""/>
      <w:lvlJc w:val="left"/>
      <w:pPr>
        <w:tabs>
          <w:tab w:val="num" w:pos="0"/>
        </w:tabs>
        <w:ind w:left="3690" w:hanging="708"/>
      </w:pPr>
      <w:rPr>
        <w:rFonts w:ascii="Symbol" w:hAnsi="Symbol" w:cs="Symbol" w:hint="default"/>
        <w:u w:val="none"/>
      </w:rPr>
    </w:lvl>
    <w:lvl w:ilvl="5">
      <w:start w:val="0"/>
      <w:numFmt w:val="bullet"/>
      <w:lvlText w:val=""/>
      <w:lvlJc w:val="left"/>
      <w:pPr>
        <w:tabs>
          <w:tab w:val="num" w:pos="0"/>
        </w:tabs>
        <w:ind w:left="4587" w:hanging="708"/>
      </w:pPr>
      <w:rPr>
        <w:rFonts w:ascii="Symbol" w:hAnsi="Symbol" w:cs="Symbol" w:hint="default"/>
        <w:u w:val="none"/>
      </w:rPr>
    </w:lvl>
    <w:lvl w:ilvl="6">
      <w:start w:val="0"/>
      <w:numFmt w:val="bullet"/>
      <w:lvlText w:val=""/>
      <w:lvlJc w:val="left"/>
      <w:pPr>
        <w:tabs>
          <w:tab w:val="num" w:pos="0"/>
        </w:tabs>
        <w:ind w:left="5484" w:hanging="708"/>
      </w:pPr>
      <w:rPr>
        <w:rFonts w:ascii="Symbol" w:hAnsi="Symbol" w:cs="Symbol" w:hint="default"/>
        <w:u w:val="none"/>
      </w:rPr>
    </w:lvl>
    <w:lvl w:ilvl="7">
      <w:start w:val="0"/>
      <w:numFmt w:val="bullet"/>
      <w:lvlText w:val=""/>
      <w:lvlJc w:val="left"/>
      <w:pPr>
        <w:tabs>
          <w:tab w:val="num" w:pos="0"/>
        </w:tabs>
        <w:ind w:left="6381" w:hanging="707"/>
      </w:pPr>
      <w:rPr>
        <w:rFonts w:ascii="Symbol" w:hAnsi="Symbol" w:cs="Symbol" w:hint="default"/>
        <w:u w:val="none"/>
      </w:rPr>
    </w:lvl>
    <w:lvl w:ilvl="8">
      <w:start w:val="0"/>
      <w:numFmt w:val="bullet"/>
      <w:lvlText w:val=""/>
      <w:lvlJc w:val="left"/>
      <w:pPr>
        <w:tabs>
          <w:tab w:val="num" w:pos="0"/>
        </w:tabs>
        <w:ind w:left="7278" w:hanging="708"/>
      </w:pPr>
      <w:rPr>
        <w:rFonts w:ascii="Symbol" w:hAnsi="Symbol" w:cs="Symbol" w:hint="default"/>
        <w:u w:val="none"/>
      </w:rPr>
    </w:lvl>
  </w:abstractNum>
  <w:abstractNum w:abstractNumId="28">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9">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0">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32">
    <w:lvl w:ilvl="0">
      <w:numFmt w:val="bullet"/>
      <w:lvlText w:val="-"/>
      <w:lvlJc w:val="left"/>
      <w:pPr>
        <w:tabs>
          <w:tab w:val="num" w:pos="0"/>
        </w:tabs>
        <w:ind w:left="285" w:hanging="125"/>
      </w:pPr>
      <w:rPr>
        <w:rFonts w:ascii="OpenSymbol" w:hAnsi="OpenSymbol" w:cs="OpenSymbol" w:hint="default"/>
        <w:u w:val="none"/>
      </w:rPr>
    </w:lvl>
    <w:lvl w:ilvl="1">
      <w:start w:val="0"/>
      <w:numFmt w:val="bullet"/>
      <w:lvlText w:val=""/>
      <w:lvlJc w:val="left"/>
      <w:pPr>
        <w:tabs>
          <w:tab w:val="num" w:pos="0"/>
        </w:tabs>
        <w:ind w:left="1159" w:hanging="125"/>
      </w:pPr>
      <w:rPr>
        <w:rFonts w:ascii="Symbol" w:hAnsi="Symbol" w:cs="Symbol" w:hint="default"/>
        <w:u w:val="none"/>
      </w:rPr>
    </w:lvl>
    <w:lvl w:ilvl="2">
      <w:start w:val="0"/>
      <w:numFmt w:val="bullet"/>
      <w:lvlText w:val=""/>
      <w:lvlJc w:val="left"/>
      <w:pPr>
        <w:tabs>
          <w:tab w:val="num" w:pos="0"/>
        </w:tabs>
        <w:ind w:left="2038" w:hanging="125"/>
      </w:pPr>
      <w:rPr>
        <w:rFonts w:ascii="Symbol" w:hAnsi="Symbol" w:cs="Symbol" w:hint="default"/>
        <w:u w:val="none"/>
      </w:rPr>
    </w:lvl>
    <w:lvl w:ilvl="3">
      <w:start w:val="0"/>
      <w:numFmt w:val="bullet"/>
      <w:lvlText w:val=""/>
      <w:lvlJc w:val="left"/>
      <w:pPr>
        <w:tabs>
          <w:tab w:val="num" w:pos="0"/>
        </w:tabs>
        <w:ind w:left="2917" w:hanging="125"/>
      </w:pPr>
      <w:rPr>
        <w:rFonts w:ascii="Symbol" w:hAnsi="Symbol" w:cs="Symbol" w:hint="default"/>
        <w:u w:val="none"/>
      </w:rPr>
    </w:lvl>
    <w:lvl w:ilvl="4">
      <w:start w:val="0"/>
      <w:numFmt w:val="bullet"/>
      <w:lvlText w:val=""/>
      <w:lvlJc w:val="left"/>
      <w:pPr>
        <w:tabs>
          <w:tab w:val="num" w:pos="0"/>
        </w:tabs>
        <w:ind w:left="3796" w:hanging="125"/>
      </w:pPr>
      <w:rPr>
        <w:rFonts w:ascii="Symbol" w:hAnsi="Symbol" w:cs="Symbol" w:hint="default"/>
        <w:u w:val="none"/>
      </w:rPr>
    </w:lvl>
    <w:lvl w:ilvl="5">
      <w:start w:val="0"/>
      <w:numFmt w:val="bullet"/>
      <w:lvlText w:val=""/>
      <w:lvlJc w:val="left"/>
      <w:pPr>
        <w:tabs>
          <w:tab w:val="num" w:pos="0"/>
        </w:tabs>
        <w:ind w:left="4676" w:hanging="125"/>
      </w:pPr>
      <w:rPr>
        <w:rFonts w:ascii="Symbol" w:hAnsi="Symbol" w:cs="Symbol" w:hint="default"/>
        <w:u w:val="none"/>
      </w:rPr>
    </w:lvl>
    <w:lvl w:ilvl="6">
      <w:start w:val="0"/>
      <w:numFmt w:val="bullet"/>
      <w:lvlText w:val=""/>
      <w:lvlJc w:val="left"/>
      <w:pPr>
        <w:tabs>
          <w:tab w:val="num" w:pos="0"/>
        </w:tabs>
        <w:ind w:left="5555" w:hanging="125"/>
      </w:pPr>
      <w:rPr>
        <w:rFonts w:ascii="Symbol" w:hAnsi="Symbol" w:cs="Symbol" w:hint="default"/>
        <w:u w:val="none"/>
      </w:rPr>
    </w:lvl>
    <w:lvl w:ilvl="7">
      <w:start w:val="0"/>
      <w:numFmt w:val="bullet"/>
      <w:lvlText w:val=""/>
      <w:lvlJc w:val="left"/>
      <w:pPr>
        <w:tabs>
          <w:tab w:val="num" w:pos="0"/>
        </w:tabs>
        <w:ind w:left="6434" w:hanging="125"/>
      </w:pPr>
      <w:rPr>
        <w:rFonts w:ascii="Symbol" w:hAnsi="Symbol" w:cs="Symbol" w:hint="default"/>
        <w:u w:val="none"/>
      </w:rPr>
    </w:lvl>
    <w:lvl w:ilvl="8">
      <w:start w:val="0"/>
      <w:numFmt w:val="bullet"/>
      <w:lvlText w:val=""/>
      <w:lvlJc w:val="left"/>
      <w:pPr>
        <w:tabs>
          <w:tab w:val="num" w:pos="0"/>
        </w:tabs>
        <w:ind w:left="7313" w:hanging="125"/>
      </w:pPr>
      <w:rPr>
        <w:rFonts w:ascii="Symbol" w:hAnsi="Symbol" w:cs="Symbol" w:hint="default"/>
        <w:u w:val="none"/>
      </w:rPr>
    </w:lvl>
  </w:abstractNum>
  <w:abstractNum w:abstractNumId="33">
    <w:lvl w:ilvl="0">
      <w:start w:val="1"/>
      <w:numFmt w:val="upperRoman"/>
      <w:lvlText w:val="%1."/>
      <w:lvlJc w:val="right"/>
      <w:pPr>
        <w:tabs>
          <w:tab w:val="num" w:pos="0"/>
        </w:tabs>
        <w:ind w:left="720" w:hanging="360"/>
      </w:pPr>
      <w:rPr>
        <w:u w:val="none"/>
      </w:rPr>
    </w:lvl>
    <w:lvl w:ilvl="1">
      <w:start w:val="1"/>
      <w:numFmt w:val="upperLetter"/>
      <w:lvlText w:val="%2."/>
      <w:lvlJc w:val="lef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decimal"/>
      <w:lvlText w:val="(%5)"/>
      <w:lvlJc w:val="left"/>
      <w:pPr>
        <w:tabs>
          <w:tab w:val="num" w:pos="0"/>
        </w:tabs>
        <w:ind w:left="3600" w:hanging="360"/>
      </w:pPr>
      <w:rPr>
        <w:u w:val="none"/>
      </w:rPr>
    </w:lvl>
    <w:lvl w:ilvl="5">
      <w:start w:val="1"/>
      <w:numFmt w:val="lowerLetter"/>
      <w:lvlText w:val="(%6)"/>
      <w:lvlJc w:val="left"/>
      <w:pPr>
        <w:tabs>
          <w:tab w:val="num" w:pos="0"/>
        </w:tabs>
        <w:ind w:left="4320" w:hanging="360"/>
      </w:pPr>
      <w:rPr>
        <w:u w:val="none"/>
      </w:rPr>
    </w:lvl>
    <w:lvl w:ilvl="6">
      <w:start w:val="1"/>
      <w:numFmt w:val="lowerRoman"/>
      <w:lvlText w:val="(%7)"/>
      <w:lvlJc w:val="righ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4">
    <w:lvl w:ilvl="0">
      <w:start w:val="1"/>
      <w:numFmt w:val="lowerLetter"/>
      <w:lvlText w:val="%1)"/>
      <w:lvlJc w:val="left"/>
      <w:pPr>
        <w:tabs>
          <w:tab w:val="num" w:pos="0"/>
        </w:tabs>
        <w:ind w:left="1005" w:hanging="360"/>
      </w:pPr>
      <w:rPr>
        <w:u w:val="none"/>
      </w:rPr>
    </w:lvl>
    <w:lvl w:ilvl="1">
      <w:start w:val="0"/>
      <w:numFmt w:val="bullet"/>
      <w:lvlText w:val=""/>
      <w:lvlJc w:val="left"/>
      <w:pPr>
        <w:tabs>
          <w:tab w:val="num" w:pos="0"/>
        </w:tabs>
        <w:ind w:left="1807" w:hanging="360"/>
      </w:pPr>
      <w:rPr>
        <w:rFonts w:ascii="Symbol" w:hAnsi="Symbol" w:cs="Symbol" w:hint="default"/>
        <w:u w:val="none"/>
      </w:rPr>
    </w:lvl>
    <w:lvl w:ilvl="2">
      <w:start w:val="0"/>
      <w:numFmt w:val="bullet"/>
      <w:lvlText w:val=""/>
      <w:lvlJc w:val="left"/>
      <w:pPr>
        <w:tabs>
          <w:tab w:val="num" w:pos="0"/>
        </w:tabs>
        <w:ind w:left="2614" w:hanging="360"/>
      </w:pPr>
      <w:rPr>
        <w:rFonts w:ascii="Symbol" w:hAnsi="Symbol" w:cs="Symbol" w:hint="default"/>
        <w:u w:val="none"/>
      </w:rPr>
    </w:lvl>
    <w:lvl w:ilvl="3">
      <w:start w:val="0"/>
      <w:numFmt w:val="bullet"/>
      <w:lvlText w:val=""/>
      <w:lvlJc w:val="left"/>
      <w:pPr>
        <w:tabs>
          <w:tab w:val="num" w:pos="0"/>
        </w:tabs>
        <w:ind w:left="3421" w:hanging="360"/>
      </w:pPr>
      <w:rPr>
        <w:rFonts w:ascii="Symbol" w:hAnsi="Symbol" w:cs="Symbol" w:hint="default"/>
        <w:u w:val="none"/>
      </w:rPr>
    </w:lvl>
    <w:lvl w:ilvl="4">
      <w:start w:val="0"/>
      <w:numFmt w:val="bullet"/>
      <w:lvlText w:val=""/>
      <w:lvlJc w:val="left"/>
      <w:pPr>
        <w:tabs>
          <w:tab w:val="num" w:pos="0"/>
        </w:tabs>
        <w:ind w:left="4228" w:hanging="360"/>
      </w:pPr>
      <w:rPr>
        <w:rFonts w:ascii="Symbol" w:hAnsi="Symbol" w:cs="Symbol" w:hint="default"/>
        <w:u w:val="none"/>
      </w:rPr>
    </w:lvl>
    <w:lvl w:ilvl="5">
      <w:start w:val="0"/>
      <w:numFmt w:val="bullet"/>
      <w:lvlText w:val=""/>
      <w:lvlJc w:val="left"/>
      <w:pPr>
        <w:tabs>
          <w:tab w:val="num" w:pos="0"/>
        </w:tabs>
        <w:ind w:left="5036" w:hanging="360"/>
      </w:pPr>
      <w:rPr>
        <w:rFonts w:ascii="Symbol" w:hAnsi="Symbol" w:cs="Symbol" w:hint="default"/>
        <w:u w:val="none"/>
      </w:rPr>
    </w:lvl>
    <w:lvl w:ilvl="6">
      <w:start w:val="0"/>
      <w:numFmt w:val="bullet"/>
      <w:lvlText w:val=""/>
      <w:lvlJc w:val="left"/>
      <w:pPr>
        <w:tabs>
          <w:tab w:val="num" w:pos="0"/>
        </w:tabs>
        <w:ind w:left="5843" w:hanging="360"/>
      </w:pPr>
      <w:rPr>
        <w:rFonts w:ascii="Symbol" w:hAnsi="Symbol" w:cs="Symbol" w:hint="default"/>
        <w:u w:val="none"/>
      </w:rPr>
    </w:lvl>
    <w:lvl w:ilvl="7">
      <w:start w:val="0"/>
      <w:numFmt w:val="bullet"/>
      <w:lvlText w:val=""/>
      <w:lvlJc w:val="left"/>
      <w:pPr>
        <w:tabs>
          <w:tab w:val="num" w:pos="0"/>
        </w:tabs>
        <w:ind w:left="6650" w:hanging="360"/>
      </w:pPr>
      <w:rPr>
        <w:rFonts w:ascii="Symbol" w:hAnsi="Symbol" w:cs="Symbol" w:hint="default"/>
        <w:u w:val="none"/>
      </w:rPr>
    </w:lvl>
    <w:lvl w:ilvl="8">
      <w:start w:val="0"/>
      <w:numFmt w:val="bullet"/>
      <w:lvlText w:val=""/>
      <w:lvlJc w:val="left"/>
      <w:pPr>
        <w:tabs>
          <w:tab w:val="num" w:pos="0"/>
        </w:tabs>
        <w:ind w:left="7457" w:hanging="360"/>
      </w:pPr>
      <w:rPr>
        <w:rFonts w:ascii="Symbol" w:hAnsi="Symbol" w:cs="Symbol" w:hint="default"/>
        <w:u w:val="none"/>
      </w:rPr>
    </w:lvl>
  </w:abstractNum>
  <w:abstractNum w:abstractNumId="35">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6">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37">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9">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0">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41">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pt-BR" w:eastAsia="pt-B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bidi w:val="0"/>
      <w:spacing w:before="0" w:after="0"/>
      <w:jc w:val="left"/>
    </w:pPr>
    <w:rPr>
      <w:rFonts w:ascii="Times New Roman" w:hAnsi="Times New Roman" w:eastAsia="Times New Roman" w:cs="Times New Roman"/>
      <w:color w:val="auto"/>
      <w:kern w:val="0"/>
      <w:sz w:val="22"/>
      <w:szCs w:val="22"/>
      <w:lang w:val="pt-BR" w:eastAsia="pt-BR" w:bidi="ar-SA"/>
    </w:rPr>
  </w:style>
  <w:style w:type="paragraph" w:styleId="Heading1">
    <w:name w:val="heading 1"/>
    <w:basedOn w:val="normal1"/>
    <w:next w:val="normal1"/>
    <w:qFormat/>
    <w:rsid w:val="00353ee0"/>
    <w:pPr>
      <w:keepNext w:val="true"/>
      <w:keepLines/>
      <w:spacing w:before="480" w:after="120"/>
      <w:outlineLvl w:val="0"/>
    </w:pPr>
    <w:rPr>
      <w:rFonts w:ascii="Cambria" w:hAnsi="Cambria" w:eastAsia="Cambria" w:cs="Cambria"/>
      <w:b/>
      <w:color w:val="366091"/>
      <w:sz w:val="28"/>
      <w:szCs w:val="28"/>
    </w:rPr>
  </w:style>
  <w:style w:type="paragraph" w:styleId="Heading2">
    <w:name w:val="heading 2"/>
    <w:basedOn w:val="normal1"/>
    <w:next w:val="normal1"/>
    <w:qFormat/>
    <w:rsid w:val="00353ee0"/>
    <w:pPr>
      <w:keepNext w:val="true"/>
      <w:keepLines/>
      <w:spacing w:before="360" w:after="80"/>
      <w:outlineLvl w:val="1"/>
    </w:pPr>
    <w:rPr>
      <w:b/>
      <w:sz w:val="36"/>
      <w:szCs w:val="36"/>
    </w:rPr>
  </w:style>
  <w:style w:type="paragraph" w:styleId="Heading3">
    <w:name w:val="heading 3"/>
    <w:basedOn w:val="normal1"/>
    <w:next w:val="normal1"/>
    <w:qFormat/>
    <w:rsid w:val="00353ee0"/>
    <w:pPr>
      <w:keepNext w:val="true"/>
      <w:keepLines/>
      <w:spacing w:before="280" w:after="80"/>
      <w:outlineLvl w:val="2"/>
    </w:pPr>
    <w:rPr>
      <w:b/>
      <w:sz w:val="28"/>
      <w:szCs w:val="28"/>
    </w:rPr>
  </w:style>
  <w:style w:type="paragraph" w:styleId="Heading4">
    <w:name w:val="heading 4"/>
    <w:basedOn w:val="normal1"/>
    <w:next w:val="normal1"/>
    <w:qFormat/>
    <w:rsid w:val="00353ee0"/>
    <w:pPr>
      <w:keepNext w:val="true"/>
      <w:widowControl/>
      <w:jc w:val="center"/>
      <w:outlineLvl w:val="3"/>
    </w:pPr>
    <w:rPr>
      <w:b/>
      <w:sz w:val="20"/>
      <w:szCs w:val="20"/>
    </w:rPr>
  </w:style>
  <w:style w:type="paragraph" w:styleId="Heading5">
    <w:name w:val="heading 5"/>
    <w:basedOn w:val="normal1"/>
    <w:next w:val="normal1"/>
    <w:qFormat/>
    <w:rsid w:val="00353ee0"/>
    <w:pPr>
      <w:keepNext w:val="true"/>
      <w:widowControl/>
      <w:ind w:left="567"/>
      <w:jc w:val="center"/>
      <w:outlineLvl w:val="4"/>
    </w:pPr>
    <w:rPr>
      <w:b/>
      <w:color w:val="000000"/>
      <w:sz w:val="20"/>
      <w:szCs w:val="20"/>
    </w:rPr>
  </w:style>
  <w:style w:type="paragraph" w:styleId="Heading6">
    <w:name w:val="heading 6"/>
    <w:basedOn w:val="normal1"/>
    <w:next w:val="normal1"/>
    <w:qFormat/>
    <w:rsid w:val="00353ee0"/>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basedOn w:val="DefaultParagraphFont"/>
    <w:link w:val="BalloonText"/>
    <w:uiPriority w:val="99"/>
    <w:semiHidden/>
    <w:qFormat/>
    <w:rsid w:val="00cb26f3"/>
    <w:rPr>
      <w:rFonts w:ascii="Tahoma" w:hAnsi="Tahoma" w:eastAsia="Times New Roman" w:cs="Tahoma"/>
      <w:sz w:val="16"/>
      <w:szCs w:val="16"/>
      <w:lang w:val="pt-PT"/>
    </w:rPr>
  </w:style>
  <w:style w:type="character" w:styleId="CabealhoChar" w:customStyle="1">
    <w:name w:val="Cabeçalho Char"/>
    <w:basedOn w:val="DefaultParagraphFont"/>
    <w:uiPriority w:val="99"/>
    <w:semiHidden/>
    <w:qFormat/>
    <w:rsid w:val="00cb26f3"/>
    <w:rPr>
      <w:rFonts w:ascii="Times New Roman" w:hAnsi="Times New Roman" w:eastAsia="Times New Roman" w:cs="Times New Roman"/>
      <w:lang w:val="pt-PT"/>
    </w:rPr>
  </w:style>
  <w:style w:type="character" w:styleId="RodapChar" w:customStyle="1">
    <w:name w:val="Rodapé Char"/>
    <w:basedOn w:val="DefaultParagraphFont"/>
    <w:qFormat/>
    <w:rsid w:val="00cb26f3"/>
    <w:rPr>
      <w:rFonts w:ascii="Times New Roman" w:hAnsi="Times New Roman" w:eastAsia="Times New Roman" w:cs="Times New Roman"/>
      <w:lang w:val="pt-PT"/>
    </w:rPr>
  </w:style>
  <w:style w:type="character" w:styleId="Ttulo4Char" w:customStyle="1">
    <w:name w:val="Título 4 Char"/>
    <w:basedOn w:val="DefaultParagraphFont"/>
    <w:qFormat/>
    <w:rsid w:val="00cb26f3"/>
    <w:rPr>
      <w:rFonts w:ascii="Times New Roman" w:hAnsi="Times New Roman" w:eastAsia="Times New Roman" w:cs="Times New Roman"/>
      <w:b/>
      <w:sz w:val="20"/>
      <w:szCs w:val="20"/>
      <w:lang w:val="pt-BR" w:eastAsia="zh-CN"/>
    </w:rPr>
  </w:style>
  <w:style w:type="character" w:styleId="Ttulo5Char" w:customStyle="1">
    <w:name w:val="Título 5 Char"/>
    <w:basedOn w:val="DefaultParagraphFont"/>
    <w:qFormat/>
    <w:rsid w:val="00cb26f3"/>
    <w:rPr>
      <w:rFonts w:ascii="Times New Roman" w:hAnsi="Times New Roman" w:eastAsia="Times New Roman" w:cs="Times New Roman"/>
      <w:b/>
      <w:color w:val="000000"/>
      <w:sz w:val="20"/>
      <w:szCs w:val="20"/>
      <w:lang w:val="pt-BR" w:eastAsia="zh-CN"/>
    </w:rPr>
  </w:style>
  <w:style w:type="character" w:styleId="WW8Num1z1" w:customStyle="1">
    <w:name w:val="WW8Num1z1"/>
    <w:qFormat/>
    <w:rsid w:val="00cb26f3"/>
    <w:rPr/>
  </w:style>
  <w:style w:type="character" w:styleId="WW8Num1z3" w:customStyle="1">
    <w:name w:val="WW8Num1z3"/>
    <w:qFormat/>
    <w:rsid w:val="00cb26f3"/>
    <w:rPr/>
  </w:style>
  <w:style w:type="character" w:styleId="Hyperlink">
    <w:name w:val="Hyperlink"/>
    <w:basedOn w:val="DefaultParagraphFont"/>
    <w:uiPriority w:val="99"/>
    <w:unhideWhenUsed/>
    <w:rsid w:val="007916da"/>
    <w:rPr>
      <w:color w:themeColor="hyperlink" w:val="0000FF"/>
      <w:u w:val="single"/>
    </w:rPr>
  </w:style>
  <w:style w:type="character" w:styleId="RecuodecorpodetextoChar" w:customStyle="1">
    <w:name w:val="Recuo de corpo de texto Char"/>
    <w:basedOn w:val="DefaultParagraphFont"/>
    <w:uiPriority w:val="99"/>
    <w:qFormat/>
    <w:rsid w:val="007e0985"/>
    <w:rPr>
      <w:rFonts w:ascii="Times New Roman" w:hAnsi="Times New Roman" w:eastAsia="Times New Roman" w:cs="Times New Roman"/>
      <w:sz w:val="20"/>
      <w:szCs w:val="20"/>
      <w:lang w:val="pt-BR" w:eastAsia="pt-BR"/>
    </w:rPr>
  </w:style>
  <w:style w:type="character" w:styleId="Nvel2-RedChar" w:customStyle="1">
    <w:name w:val="Nível 2 -Red Char"/>
    <w:basedOn w:val="DefaultParagraphFont"/>
    <w:link w:val="Nvel2-Red"/>
    <w:qFormat/>
    <w:locked/>
    <w:rsid w:val="00b47d23"/>
    <w:rPr>
      <w:rFonts w:ascii="Arial" w:hAnsi="Arial" w:cs="Arial"/>
      <w:i/>
      <w:iCs/>
      <w:color w:val="FF0000"/>
      <w:sz w:val="20"/>
      <w:szCs w:val="20"/>
    </w:rPr>
  </w:style>
  <w:style w:type="character" w:styleId="Nivel01Char" w:customStyle="1">
    <w:name w:val="Nivel 01 Char"/>
    <w:basedOn w:val="DefaultParagraphFont"/>
    <w:link w:val="Nivel01"/>
    <w:qFormat/>
    <w:locked/>
    <w:rsid w:val="00b47d23"/>
    <w:rPr>
      <w:rFonts w:ascii="Arial" w:hAnsi="Arial" w:eastAsia="" w:cs="Arial" w:eastAsiaTheme="majorEastAsia"/>
      <w:b/>
      <w:bCs/>
      <w:sz w:val="20"/>
      <w:szCs w:val="20"/>
    </w:rPr>
  </w:style>
  <w:style w:type="character" w:styleId="Nivel2Char" w:customStyle="1">
    <w:name w:val="Nivel 2 Char"/>
    <w:basedOn w:val="DefaultParagraphFont"/>
    <w:link w:val="Nivel2"/>
    <w:qFormat/>
    <w:locked/>
    <w:rsid w:val="00b47d23"/>
    <w:rPr>
      <w:rFonts w:ascii="Arial" w:hAnsi="Arial" w:cs="Arial"/>
      <w:color w:val="000000"/>
      <w:sz w:val="20"/>
      <w:szCs w:val="20"/>
    </w:rPr>
  </w:style>
  <w:style w:type="character" w:styleId="Ttulo1Char" w:customStyle="1">
    <w:name w:val="Título 1 Char"/>
    <w:basedOn w:val="DefaultParagraphFont"/>
    <w:uiPriority w:val="9"/>
    <w:qFormat/>
    <w:rsid w:val="00b47d23"/>
    <w:rPr>
      <w:rFonts w:ascii="Cambria" w:hAnsi="Cambria" w:eastAsia="" w:cs="" w:asciiTheme="majorHAnsi" w:cstheme="majorBidi" w:eastAsiaTheme="majorEastAsia" w:hAnsiTheme="majorHAnsi"/>
      <w:b/>
      <w:bCs/>
      <w:color w:themeColor="accent1" w:themeShade="bf" w:val="365F91"/>
      <w:sz w:val="28"/>
      <w:szCs w:val="28"/>
      <w:lang w:val="pt-P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11"/>
    <w:uiPriority w:val="1"/>
    <w:qFormat/>
    <w:rsid w:val="00e40568"/>
    <w:pPr>
      <w:spacing w:before="124" w:after="0"/>
      <w:ind w:left="232"/>
      <w:jc w:val="both"/>
    </w:pPr>
    <w:rPr>
      <w:sz w:val="24"/>
      <w:szCs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normal1" w:customStyle="1">
    <w:name w:val="normal1"/>
    <w:qFormat/>
    <w:rsid w:val="00353ee0"/>
    <w:pPr>
      <w:widowControl w:val="false"/>
      <w:bidi w:val="0"/>
      <w:spacing w:before="0" w:after="0"/>
      <w:jc w:val="left"/>
    </w:pPr>
    <w:rPr>
      <w:rFonts w:ascii="Times New Roman" w:hAnsi="Times New Roman" w:eastAsia="Times New Roman" w:cs="Times New Roman"/>
      <w:color w:val="auto"/>
      <w:kern w:val="0"/>
      <w:sz w:val="22"/>
      <w:szCs w:val="22"/>
      <w:lang w:val="pt-BR" w:eastAsia="pt-BR" w:bidi="ar-SA"/>
    </w:rPr>
  </w:style>
  <w:style w:type="paragraph" w:styleId="Title">
    <w:name w:val="Title"/>
    <w:basedOn w:val="normal1"/>
    <w:next w:val="normal1"/>
    <w:qFormat/>
    <w:rsid w:val="00353ee0"/>
    <w:pPr>
      <w:keepNext w:val="true"/>
      <w:keepLines/>
      <w:spacing w:before="480" w:after="120"/>
    </w:pPr>
    <w:rPr>
      <w:b/>
      <w:sz w:val="72"/>
      <w:szCs w:val="72"/>
    </w:rPr>
  </w:style>
  <w:style w:type="paragraph" w:styleId="normal2" w:customStyle="1">
    <w:name w:val="normal2"/>
    <w:qFormat/>
    <w:rsid w:val="00353ee0"/>
    <w:pPr>
      <w:widowControl w:val="false"/>
      <w:bidi w:val="0"/>
      <w:spacing w:before="0" w:after="0"/>
      <w:jc w:val="left"/>
    </w:pPr>
    <w:rPr>
      <w:rFonts w:ascii="Times New Roman" w:hAnsi="Times New Roman" w:eastAsia="Times New Roman" w:cs="Times New Roman"/>
      <w:color w:val="auto"/>
      <w:kern w:val="0"/>
      <w:sz w:val="22"/>
      <w:szCs w:val="22"/>
      <w:lang w:val="pt-BR" w:eastAsia="pt-BR" w:bidi="ar-SA"/>
    </w:rPr>
  </w:style>
  <w:style w:type="paragraph" w:styleId="normal11" w:customStyle="1">
    <w:name w:val="normal11"/>
    <w:qFormat/>
    <w:rsid w:val="00353ee0"/>
    <w:pPr>
      <w:widowControl w:val="false"/>
      <w:bidi w:val="0"/>
      <w:spacing w:before="0" w:after="0"/>
      <w:jc w:val="left"/>
    </w:pPr>
    <w:rPr>
      <w:rFonts w:ascii="Times New Roman" w:hAnsi="Times New Roman" w:eastAsia="Times New Roman" w:cs="Times New Roman"/>
      <w:color w:val="auto"/>
      <w:kern w:val="0"/>
      <w:sz w:val="22"/>
      <w:szCs w:val="22"/>
      <w:lang w:val="pt-BR" w:eastAsia="pt-BR" w:bidi="ar-SA"/>
    </w:rPr>
  </w:style>
  <w:style w:type="paragraph" w:styleId="Ttulo11" w:customStyle="1">
    <w:name w:val="Título 11"/>
    <w:basedOn w:val="normal11"/>
    <w:uiPriority w:val="1"/>
    <w:qFormat/>
    <w:rsid w:val="00e40568"/>
    <w:pPr>
      <w:spacing w:before="95" w:after="0"/>
      <w:ind w:left="232"/>
      <w:outlineLvl w:val="1"/>
    </w:pPr>
    <w:rPr>
      <w:b/>
      <w:bCs/>
      <w:sz w:val="24"/>
      <w:szCs w:val="24"/>
    </w:rPr>
  </w:style>
  <w:style w:type="paragraph" w:styleId="ListParagraph">
    <w:name w:val="List Paragraph"/>
    <w:basedOn w:val="normal11"/>
    <w:uiPriority w:val="1"/>
    <w:qFormat/>
    <w:rsid w:val="00e40568"/>
    <w:pPr>
      <w:spacing w:before="124" w:after="0"/>
      <w:ind w:left="232"/>
      <w:jc w:val="both"/>
    </w:pPr>
    <w:rPr/>
  </w:style>
  <w:style w:type="paragraph" w:styleId="TableParagraph" w:customStyle="1">
    <w:name w:val="Table Paragraph"/>
    <w:basedOn w:val="normal11"/>
    <w:uiPriority w:val="1"/>
    <w:qFormat/>
    <w:rsid w:val="00e40568"/>
    <w:pPr>
      <w:spacing w:lineRule="exact" w:line="196"/>
      <w:ind w:left="309"/>
      <w:jc w:val="center"/>
    </w:pPr>
    <w:rPr/>
  </w:style>
  <w:style w:type="paragraph" w:styleId="BalloonText">
    <w:name w:val="Balloon Text"/>
    <w:basedOn w:val="normal11"/>
    <w:link w:val="TextodebaloChar"/>
    <w:uiPriority w:val="99"/>
    <w:semiHidden/>
    <w:unhideWhenUsed/>
    <w:qFormat/>
    <w:rsid w:val="00cb26f3"/>
    <w:pPr/>
    <w:rPr>
      <w:rFonts w:ascii="Tahoma" w:hAnsi="Tahoma" w:cs="Tahoma"/>
      <w:sz w:val="16"/>
      <w:szCs w:val="16"/>
    </w:rPr>
  </w:style>
  <w:style w:type="paragraph" w:styleId="Cabealhoerodap">
    <w:name w:val="Cabeçalho e rodapé"/>
    <w:basedOn w:val="Normal"/>
    <w:qFormat/>
    <w:pPr/>
    <w:rPr/>
  </w:style>
  <w:style w:type="paragraph" w:styleId="Header">
    <w:name w:val="header"/>
    <w:basedOn w:val="normal11"/>
    <w:link w:val="CabealhoChar"/>
    <w:uiPriority w:val="99"/>
    <w:semiHidden/>
    <w:unhideWhenUsed/>
    <w:rsid w:val="00cb26f3"/>
    <w:pPr>
      <w:tabs>
        <w:tab w:val="clear" w:pos="720"/>
        <w:tab w:val="center" w:pos="4252" w:leader="none"/>
        <w:tab w:val="right" w:pos="8504" w:leader="none"/>
      </w:tabs>
    </w:pPr>
    <w:rPr/>
  </w:style>
  <w:style w:type="paragraph" w:styleId="Footer">
    <w:name w:val="footer"/>
    <w:basedOn w:val="normal11"/>
    <w:link w:val="RodapChar"/>
    <w:unhideWhenUsed/>
    <w:rsid w:val="00cb26f3"/>
    <w:pPr>
      <w:tabs>
        <w:tab w:val="clear" w:pos="720"/>
        <w:tab w:val="center" w:pos="4252" w:leader="none"/>
        <w:tab w:val="right" w:pos="8504" w:leader="none"/>
      </w:tabs>
    </w:pPr>
    <w:rPr/>
  </w:style>
  <w:style w:type="paragraph" w:styleId="BodyTextIndent">
    <w:name w:val="Body Text Indent"/>
    <w:basedOn w:val="normal11"/>
    <w:link w:val="RecuodecorpodetextoChar"/>
    <w:uiPriority w:val="99"/>
    <w:rsid w:val="007e0985"/>
    <w:pPr>
      <w:widowControl/>
      <w:spacing w:before="0" w:after="120"/>
      <w:ind w:left="283"/>
    </w:pPr>
    <w:rPr>
      <w:sz w:val="20"/>
      <w:szCs w:val="20"/>
    </w:rPr>
  </w:style>
  <w:style w:type="paragraph" w:styleId="TextosemFormatao1" w:customStyle="1">
    <w:name w:val="Texto sem Formatação1"/>
    <w:basedOn w:val="normal11"/>
    <w:qFormat/>
    <w:rsid w:val="00405dfe"/>
    <w:pPr>
      <w:widowControl/>
      <w:suppressAutoHyphens w:val="true"/>
    </w:pPr>
    <w:rPr>
      <w:rFonts w:ascii="Courier New" w:hAnsi="Courier New" w:cs="Courier New"/>
      <w:sz w:val="20"/>
      <w:szCs w:val="20"/>
      <w:lang w:eastAsia="zh-CN"/>
    </w:rPr>
  </w:style>
  <w:style w:type="paragraph" w:styleId="Nvel2-Red" w:customStyle="1">
    <w:name w:val="Nível 2 -Red"/>
    <w:basedOn w:val="normal11"/>
    <w:link w:val="Nvel2-RedChar"/>
    <w:qFormat/>
    <w:rsid w:val="00b47d23"/>
    <w:pPr>
      <w:widowControl/>
      <w:spacing w:lineRule="auto" w:line="276" w:before="120" w:after="120"/>
      <w:ind w:hanging="432" w:left="4969"/>
      <w:jc w:val="both"/>
    </w:pPr>
    <w:rPr>
      <w:rFonts w:ascii="Arial" w:hAnsi="Arial" w:eastAsia="Calibri" w:cs="Arial" w:eastAsiaTheme="minorHAnsi"/>
      <w:i/>
      <w:iCs/>
      <w:color w:val="FF0000"/>
      <w:sz w:val="20"/>
      <w:szCs w:val="20"/>
      <w:lang w:val="en-US"/>
    </w:rPr>
  </w:style>
  <w:style w:type="paragraph" w:styleId="Nivel01" w:customStyle="1">
    <w:name w:val="Nivel 01"/>
    <w:next w:val="normal11"/>
    <w:link w:val="Nivel01Char"/>
    <w:qFormat/>
    <w:rsid w:val="00b47d23"/>
    <w:pPr>
      <w:widowControl/>
      <w:tabs>
        <w:tab w:val="clear" w:pos="720"/>
        <w:tab w:val="left" w:pos="567" w:leader="none"/>
      </w:tabs>
      <w:bidi w:val="0"/>
      <w:spacing w:before="240" w:after="0"/>
      <w:ind w:hanging="360" w:left="360"/>
      <w:jc w:val="both"/>
    </w:pPr>
    <w:rPr>
      <w:rFonts w:ascii="Arial" w:hAnsi="Arial" w:cs="Arial" w:eastAsia="Times New Roman"/>
      <w:color w:val="auto"/>
      <w:kern w:val="0"/>
      <w:sz w:val="20"/>
      <w:szCs w:val="20"/>
      <w:lang w:val="en-US" w:eastAsia="pt-BR" w:bidi="ar-SA"/>
    </w:rPr>
  </w:style>
  <w:style w:type="paragraph" w:styleId="Nivel2" w:customStyle="1">
    <w:name w:val="Nivel 2"/>
    <w:basedOn w:val="normal11"/>
    <w:link w:val="Nivel2Char"/>
    <w:qFormat/>
    <w:rsid w:val="00b47d23"/>
    <w:pPr>
      <w:widowControl/>
      <w:spacing w:lineRule="auto" w:line="276" w:before="120" w:after="120"/>
      <w:ind w:hanging="432" w:left="4969"/>
      <w:jc w:val="both"/>
    </w:pPr>
    <w:rPr>
      <w:rFonts w:ascii="Arial" w:hAnsi="Arial" w:eastAsia="Calibri" w:cs="Arial" w:eastAsiaTheme="minorHAnsi"/>
      <w:color w:val="000000"/>
      <w:sz w:val="20"/>
      <w:szCs w:val="20"/>
      <w:lang w:val="en-US"/>
    </w:rPr>
  </w:style>
  <w:style w:type="paragraph" w:styleId="Subtitle">
    <w:name w:val="Subtitle"/>
    <w:basedOn w:val="normal11"/>
    <w:next w:val="normal11"/>
    <w:qFormat/>
    <w:rsid w:val="00353ee0"/>
    <w:pPr>
      <w:keepNext w:val="true"/>
      <w:keepLines/>
      <w:spacing w:before="360" w:after="80"/>
    </w:pPr>
    <w:rPr>
      <w:rFonts w:ascii="Georgia" w:hAnsi="Georgia" w:eastAsia="Georgia" w:cs="Georgia"/>
      <w:i/>
      <w:color w:val="666666"/>
      <w:sz w:val="48"/>
      <w:szCs w:val="48"/>
    </w:rPr>
  </w:style>
  <w:style w:type="numbering" w:styleId="Semlista" w:default="1">
    <w:name w:val="Sem lista"/>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customStyle="1" w:styleId="TableNormal">
    <w:name w:val="TableNormal"/>
    <w:rsid w:val="00353ee0"/>
    <w:tblPr>
      <w:tblCellMar>
        <w:top w:w="100" w:type="dxa"/>
        <w:left w:w="100" w:type="dxa"/>
        <w:bottom w:w="100" w:type="dxa"/>
        <w:right w:w="100" w:type="dxa"/>
      </w:tblCellMar>
    </w:tblPr>
  </w:style>
  <w:style w:type="table" w:customStyle="1" w:styleId="TableNormal1">
    <w:name w:val="TableNormal1"/>
    <w:rsid w:val="00353ee0"/>
    <w:tblPr>
      <w:tblCellMar>
        <w:top w:w="100" w:type="dxa"/>
        <w:left w:w="100" w:type="dxa"/>
        <w:bottom w:w="100" w:type="dxa"/>
        <w:right w:w="100" w:type="dxa"/>
      </w:tblCellMar>
    </w:tblPr>
  </w:style>
  <w:style w:type="table" w:customStyle="1" w:styleId="TableNormal0">
    <w:name w:val="Table Normal"/>
    <w:rsid w:val="00353ee0"/>
    <w:tblPr>
      <w:tblCellMar>
        <w:top w:w="0" w:type="dxa"/>
        <w:left w:w="0" w:type="dxa"/>
        <w:bottom w:w="0" w:type="dxa"/>
        <w:right w:w="0" w:type="dxa"/>
      </w:tblCellMar>
    </w:tblPr>
  </w:style>
  <w:style w:type="table" w:customStyle="1" w:styleId="TableNormal10">
    <w:name w:val="Table Normal1"/>
    <w:uiPriority w:val="2"/>
    <w:semiHidden/>
    <w:unhideWhenUsed/>
    <w:qFormat/>
    <w:rsid w:val="00e40568"/>
    <w:tblPr>
      <w:tblCellMar>
        <w:top w:w="0" w:type="dxa"/>
        <w:left w:w="0" w:type="dxa"/>
        <w:bottom w:w="0" w:type="dxa"/>
        <w:right w:w="0" w:type="dxa"/>
      </w:tblCellMar>
    </w:tblPr>
  </w:style>
  <w:style w:type="table" w:styleId="Tabelacomgrade">
    <w:name w:val="Table Grid"/>
    <w:basedOn w:val="Tabelanormal"/>
    <w:rsid w:val="009177d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13"/>
    <w:basedOn w:val="TableNormal10"/>
    <w:rsid w:val="00353ee0"/>
    <w:tblPr>
      <w:tblStyleRowBandSize w:val="1"/>
      <w:tblStyleColBandSize w:val="1"/>
      <w:tblCellMar>
        <w:top w:w="0" w:type="dxa"/>
        <w:left w:w="70" w:type="dxa"/>
        <w:bottom w:w="0" w:type="dxa"/>
        <w:right w:w="70" w:type="dxa"/>
      </w:tblCellMar>
    </w:tblPr>
  </w:style>
  <w:style w:type="table" w:customStyle="1" w:styleId="12">
    <w:name w:val="12"/>
    <w:basedOn w:val="TableNormal10"/>
    <w:rsid w:val="00353ee0"/>
    <w:tblPr>
      <w:tblStyleRowBandSize w:val="1"/>
      <w:tblStyleColBandSize w:val="1"/>
      <w:tblCellMar>
        <w:top w:w="0" w:type="dxa"/>
        <w:left w:w="0" w:type="dxa"/>
        <w:bottom w:w="0" w:type="dxa"/>
        <w:right w:w="0" w:type="dxa"/>
      </w:tblCellMar>
    </w:tblPr>
  </w:style>
  <w:style w:type="table" w:customStyle="1" w:styleId="11">
    <w:name w:val="11"/>
    <w:basedOn w:val="TableNormal10"/>
    <w:rsid w:val="00353ee0"/>
    <w:tblPr>
      <w:tblStyleRowBandSize w:val="1"/>
      <w:tblStyleColBandSize w:val="1"/>
      <w:tblCellMar>
        <w:top w:w="0" w:type="dxa"/>
        <w:left w:w="0" w:type="dxa"/>
        <w:bottom w:w="0" w:type="dxa"/>
        <w:right w:w="0" w:type="dxa"/>
      </w:tblCellMar>
    </w:tblPr>
  </w:style>
  <w:style w:type="table" w:customStyle="1" w:styleId="10">
    <w:name w:val="10"/>
    <w:basedOn w:val="TableNormal10"/>
    <w:rsid w:val="00353ee0"/>
    <w:tblPr>
      <w:tblStyleRowBandSize w:val="1"/>
      <w:tblStyleColBandSize w:val="1"/>
      <w:tblCellMar>
        <w:top w:w="0" w:type="dxa"/>
        <w:left w:w="0" w:type="dxa"/>
        <w:bottom w:w="0" w:type="dxa"/>
        <w:right w:w="0" w:type="dxa"/>
      </w:tblCellMar>
    </w:tblPr>
  </w:style>
  <w:style w:type="table" w:customStyle="1" w:styleId="9">
    <w:name w:val="9"/>
    <w:basedOn w:val="TableNormal10"/>
    <w:rsid w:val="00353ee0"/>
    <w:tblPr>
      <w:tblStyleRowBandSize w:val="1"/>
      <w:tblStyleColBandSize w:val="1"/>
      <w:tblCellMar>
        <w:top w:w="0" w:type="dxa"/>
        <w:left w:w="0" w:type="dxa"/>
        <w:bottom w:w="0" w:type="dxa"/>
        <w:right w:w="0" w:type="dxa"/>
      </w:tblCellMar>
    </w:tblPr>
  </w:style>
  <w:style w:type="table" w:customStyle="1" w:styleId="8">
    <w:name w:val="8"/>
    <w:basedOn w:val="TableNormal10"/>
    <w:rsid w:val="00353ee0"/>
    <w:rPr/>
    <w:tblPr>
      <w:tblStyleRowBandSize w:val="1"/>
      <w:tblStyleColBandSize w:val="1"/>
      <w:tblCellMar>
        <w:top w:w="0" w:type="dxa"/>
        <w:left w:w="108" w:type="dxa"/>
        <w:bottom w:w="0" w:type="dxa"/>
        <w:right w:w="108" w:type="dxa"/>
      </w:tblCellMar>
    </w:tblPr>
  </w:style>
  <w:style w:type="table" w:customStyle="1" w:styleId="7">
    <w:name w:val="7"/>
    <w:basedOn w:val="TableNormal10"/>
    <w:rsid w:val="00353ee0"/>
    <w:rPr/>
    <w:tblPr>
      <w:tblStyleRowBandSize w:val="1"/>
      <w:tblStyleColBandSize w:val="1"/>
      <w:tblCellMar>
        <w:top w:w="0" w:type="dxa"/>
        <w:left w:w="108" w:type="dxa"/>
        <w:bottom w:w="0" w:type="dxa"/>
        <w:right w:w="108" w:type="dxa"/>
      </w:tblCellMar>
    </w:tblPr>
  </w:style>
  <w:style w:type="table" w:customStyle="1" w:styleId="6">
    <w:name w:val="6"/>
    <w:basedOn w:val="TableNormal10"/>
    <w:rsid w:val="00353ee0"/>
    <w:rPr/>
    <w:tblPr>
      <w:tblStyleRowBandSize w:val="1"/>
      <w:tblStyleColBandSize w:val="1"/>
      <w:tblCellMar>
        <w:top w:w="0" w:type="dxa"/>
        <w:left w:w="108" w:type="dxa"/>
        <w:bottom w:w="0" w:type="dxa"/>
        <w:right w:w="108" w:type="dxa"/>
      </w:tblCellMar>
    </w:tblPr>
  </w:style>
  <w:style w:type="table" w:customStyle="1" w:styleId="5">
    <w:name w:val="5"/>
    <w:basedOn w:val="TableNormal10"/>
    <w:rsid w:val="00353ee0"/>
    <w:rPr/>
    <w:tblPr>
      <w:tblStyleRowBandSize w:val="1"/>
      <w:tblStyleColBandSize w:val="1"/>
      <w:tblCellMar>
        <w:top w:w="0" w:type="dxa"/>
        <w:left w:w="108" w:type="dxa"/>
        <w:bottom w:w="0" w:type="dxa"/>
        <w:right w:w="108" w:type="dxa"/>
      </w:tblCellMar>
    </w:tblPr>
  </w:style>
  <w:style w:type="table" w:customStyle="1" w:styleId="4">
    <w:name w:val="4"/>
    <w:basedOn w:val="TableNormal10"/>
    <w:rsid w:val="00353ee0"/>
    <w:rPr/>
    <w:tblPr>
      <w:tblStyleRowBandSize w:val="1"/>
      <w:tblStyleColBandSize w:val="1"/>
      <w:tblCellMar>
        <w:top w:w="0" w:type="dxa"/>
        <w:left w:w="108" w:type="dxa"/>
        <w:bottom w:w="0" w:type="dxa"/>
        <w:right w:w="108" w:type="dxa"/>
      </w:tblCellMar>
    </w:tblPr>
  </w:style>
  <w:style w:type="table" w:customStyle="1" w:styleId="3">
    <w:name w:val="3"/>
    <w:basedOn w:val="TableNormal10"/>
    <w:rsid w:val="00353ee0"/>
    <w:rPr/>
    <w:tblPr>
      <w:tblStyleRowBandSize w:val="1"/>
      <w:tblStyleColBandSize w:val="1"/>
      <w:tblCellMar>
        <w:top w:w="0" w:type="dxa"/>
        <w:left w:w="108" w:type="dxa"/>
        <w:bottom w:w="0" w:type="dxa"/>
        <w:right w:w="108" w:type="dxa"/>
      </w:tblCellMar>
    </w:tblPr>
  </w:style>
  <w:style w:type="table" w:customStyle="1" w:styleId="2">
    <w:name w:val="2"/>
    <w:basedOn w:val="TableNormal10"/>
    <w:rsid w:val="00353ee0"/>
    <w:rPr/>
    <w:tblPr>
      <w:tblStyleRowBandSize w:val="1"/>
      <w:tblStyleColBandSize w:val="1"/>
      <w:tblCellMar>
        <w:top w:w="0" w:type="dxa"/>
        <w:left w:w="108" w:type="dxa"/>
        <w:bottom w:w="0" w:type="dxa"/>
        <w:right w:w="108" w:type="dxa"/>
      </w:tblCellMar>
    </w:tblPr>
  </w:style>
  <w:style w:type="table" w:customStyle="1" w:styleId="1">
    <w:name w:val="1"/>
    <w:basedOn w:val="TableNormal10"/>
    <w:rsid w:val="00353ee0"/>
    <w:tblPr>
      <w:tblStyleRowBandSize w:val="1"/>
      <w:tblStyleColBandSize w:val="1"/>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pt-br" TargetMode="External"/><Relationship Id="rId3"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mf.sc.gov.br/" TargetMode="External"/><Relationship Id="rId5" Type="http://schemas.openxmlformats.org/officeDocument/2006/relationships/hyperlink" Target="http://www.gov.br/compras/pt-br" TargetMode="External"/><Relationship Id="rId6" Type="http://schemas.openxmlformats.org/officeDocument/2006/relationships/hyperlink" Target="https://www.gov.br/compras/pt-br/acesso-a-informacao/legislacao/instrucoes-normativas/instrucao-normativa-no-3-de-26-de-abril-de-2018" TargetMode="External"/><Relationship Id="rId7" Type="http://schemas.openxmlformats.org/officeDocument/2006/relationships/hyperlink" Target="http://www.gov.br/compras/pt-br" TargetMode="External"/><Relationship Id="rId8" Type="http://schemas.openxmlformats.org/officeDocument/2006/relationships/hyperlink" Target="mailto:gerencialicitacao@pmf.sc.gov.br" TargetMode="External"/><Relationship Id="rId9" Type="http://schemas.openxmlformats.org/officeDocument/2006/relationships/hyperlink" Target="http://www.pmf.sc.gov.br/" TargetMode="External"/><Relationship Id="rId10" Type="http://schemas.openxmlformats.org/officeDocument/2006/relationships/hyperlink" Target="http://www.gov.br/compras/pt-br" TargetMode="External"/><Relationship Id="rId11" Type="http://schemas.openxmlformats.org/officeDocument/2006/relationships/hyperlink" Target="http://www.gov.br/compras/pt-br" TargetMode="External"/><Relationship Id="rId12" Type="http://schemas.openxmlformats.org/officeDocument/2006/relationships/hyperlink" Target="about:blank" TargetMode="External"/><Relationship Id="rId13" Type="http://schemas.openxmlformats.org/officeDocument/2006/relationships/hyperlink" Target="mailto:gerencialicitacao@pmf.sc.gov.br" TargetMode="External"/><Relationship Id="rId14" Type="http://schemas.openxmlformats.org/officeDocument/2006/relationships/hyperlink" Target="mailto:gerencialicitacao@pmf.sc.gov.br" TargetMode="External"/><Relationship Id="rId15" Type="http://schemas.openxmlformats.org/officeDocument/2006/relationships/hyperlink" Target="http://www.pmf.sc.gov.br/" TargetMode="External"/><Relationship Id="rId16" Type="http://schemas.openxmlformats.org/officeDocument/2006/relationships/hyperlink" Target="http://www.gov.br/compras/pt-br" TargetMode="External"/><Relationship Id="rId17" Type="http://schemas.openxmlformats.org/officeDocument/2006/relationships/hyperlink" Target="mailto:gerencialicitacao@pmf.sc.gov.br" TargetMode="External"/><Relationship Id="rId18" Type="http://schemas.openxmlformats.org/officeDocument/2006/relationships/hyperlink" Target="http://www.pmf.sc.gov.br/" TargetMode="External"/><Relationship Id="rId19" Type="http://schemas.openxmlformats.org/officeDocument/2006/relationships/hyperlink" Target="about:blank" TargetMode="External"/><Relationship Id="rId20" Type="http://schemas.openxmlformats.org/officeDocument/2006/relationships/image" Target="media/image1.png"/><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header" Target="header3.xml"/><Relationship Id="rId24" Type="http://schemas.openxmlformats.org/officeDocument/2006/relationships/footer" Target="footer1.xml"/><Relationship Id="rId25" Type="http://schemas.openxmlformats.org/officeDocument/2006/relationships/footer" Target="footer2.xml"/><Relationship Id="rId26" Type="http://schemas.openxmlformats.org/officeDocument/2006/relationships/footer" Target="footer3.xml"/><Relationship Id="rId27" Type="http://schemas.openxmlformats.org/officeDocument/2006/relationships/numbering" Target="numbering.xml"/><Relationship Id="rId28" Type="http://schemas.openxmlformats.org/officeDocument/2006/relationships/fontTable" Target="fontTable.xml"/><Relationship Id="rId29" Type="http://schemas.openxmlformats.org/officeDocument/2006/relationships/settings" Target="settings.xml"/><Relationship Id="rId30" Type="http://schemas.openxmlformats.org/officeDocument/2006/relationships/theme" Target="theme/theme1.xml"/><Relationship Id="rId31"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hyperlink" Target="http://www.pmf.sc.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pmf.sc.gov.br/" TargetMode="Externa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xgpM/95cZAqQFDAEFYG7QuYtNrA==">CgMxLjAyCWguMzBqMHpsbDIOaC5xMzY5bXZhcGxndDgyDmgudXh0Z3NxNjBzNjU1Mg5oLnl2bHZleWtsZXo1MDIOaC55c2ZlaTg5Z3NtbXgyDmguMnF1cWttMjM1cXdhMg5oLm0ycHAzMno3MTl4aTgAciExbHliczU4Ul9ZeXZxNW9BNnFKTUxxWUU4dHlXMFpYRVE=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LibreOffice/25.8.1.1$Windows_X86_64 LibreOffice_project/54047653041915e595ad4e45cccea684809c77b5</Application>
  <AppVersion>15.0000</AppVersion>
  <Pages>89</Pages>
  <Words>34600</Words>
  <Characters>194226</Characters>
  <CharactersWithSpaces>260187</CharactersWithSpaces>
  <Paragraphs>6880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2023-06-20T21:13:00Z</dcterms:created>
  <dc:creator>Vinicius Stahelin Amandio</dc:creator>
  <dc:description/>
  <dc:language>pt-BR</dc:language>
  <cp:lastModifiedBy/>
  <dcterms:modified xsi:type="dcterms:W3CDTF">2025-09-16T16:30:10Z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2023-04-03T00:00:00Z</vt:filetime>
  </property>
  <property fmtid="{D5CDD505-2E9C-101B-9397-08002B2CF9AE}" pid="3" name="LastSaved">
    <vt:filetime>2023-04-03T00:00:00Z</vt:filetime>
  </property>
</Properties>
</file>